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81B9" w14:textId="2110C3D1" w:rsidR="00E04782" w:rsidRDefault="00435D05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</w:t>
      </w:r>
    </w:p>
    <w:p w14:paraId="13DE7991" w14:textId="77777777" w:rsidR="00E54709" w:rsidRDefault="00E54709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8EA5D9B" w14:textId="77777777" w:rsidR="00E04782" w:rsidRDefault="00E04782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215EA69" w14:textId="77777777" w:rsidR="00E04782" w:rsidRDefault="00E04782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DCE9597" w14:textId="77777777" w:rsidR="00E04782" w:rsidRDefault="00E04782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94D745B" w14:textId="77777777" w:rsidR="00D03E1C" w:rsidRDefault="00D03E1C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B75B13C" w14:textId="77777777" w:rsidR="00420730" w:rsidRDefault="00420730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D1D0D09" w14:textId="77777777" w:rsidR="00420730" w:rsidRDefault="00420730" w:rsidP="007454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4240"/>
      </w:tblGrid>
      <w:tr w:rsidR="00D03E1C" w:rsidRPr="00C23886" w14:paraId="19BB5C4C" w14:textId="77777777" w:rsidTr="002A5382">
        <w:trPr>
          <w:trHeight w:val="125"/>
          <w:jc w:val="center"/>
        </w:trPr>
        <w:tc>
          <w:tcPr>
            <w:tcW w:w="8343" w:type="dxa"/>
            <w:gridSpan w:val="2"/>
            <w:tcBorders>
              <w:top w:val="single" w:sz="36" w:space="0" w:color="FFFFFF" w:themeColor="background1"/>
              <w:left w:val="nil"/>
              <w:bottom w:val="single" w:sz="18" w:space="0" w:color="D9D9D9" w:themeColor="background1" w:themeShade="D9"/>
              <w:right w:val="nil"/>
            </w:tcBorders>
            <w:vAlign w:val="center"/>
          </w:tcPr>
          <w:p w14:paraId="4E89DBA0" w14:textId="77777777" w:rsidR="00D03E1C" w:rsidRPr="00B260D4" w:rsidRDefault="00420730" w:rsidP="00420730">
            <w:pPr>
              <w:pStyle w:val="Categoria"/>
              <w:rPr>
                <w:rFonts w:ascii="Garamond" w:hAnsi="Garamond"/>
                <w:caps w:val="0"/>
                <w:smallCaps/>
              </w:rPr>
            </w:pPr>
            <w:r>
              <w:rPr>
                <w:rFonts w:ascii="Garamond" w:hAnsi="Garamond"/>
                <w:caps w:val="0"/>
                <w:smallCaps/>
                <w:sz w:val="36"/>
              </w:rPr>
              <w:t>Documento di ricerca</w:t>
            </w:r>
          </w:p>
        </w:tc>
      </w:tr>
      <w:tr w:rsidR="00D03E1C" w14:paraId="3C344061" w14:textId="77777777" w:rsidTr="002A5382">
        <w:trPr>
          <w:trHeight w:val="134"/>
          <w:jc w:val="center"/>
        </w:trPr>
        <w:tc>
          <w:tcPr>
            <w:tcW w:w="4103" w:type="dxa"/>
            <w:tcBorders>
              <w:top w:val="single" w:sz="1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3D09AEA" w14:textId="77777777" w:rsidR="00D03E1C" w:rsidRDefault="00D03E1C" w:rsidP="002A5382">
            <w:pPr>
              <w:pStyle w:val="Categoria"/>
            </w:pPr>
          </w:p>
        </w:tc>
        <w:tc>
          <w:tcPr>
            <w:tcW w:w="4240" w:type="dxa"/>
            <w:tcBorders>
              <w:top w:val="single" w:sz="18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4D3CB8A" w14:textId="77777777" w:rsidR="00D03E1C" w:rsidRDefault="00D03E1C" w:rsidP="002A5382">
            <w:pPr>
              <w:pStyle w:val="Data1"/>
            </w:pPr>
          </w:p>
        </w:tc>
      </w:tr>
      <w:tr w:rsidR="00D03E1C" w:rsidRPr="00A6595F" w14:paraId="38B9C931" w14:textId="77777777" w:rsidTr="002A5382">
        <w:trPr>
          <w:trHeight w:val="1989"/>
          <w:jc w:val="center"/>
        </w:trPr>
        <w:tc>
          <w:tcPr>
            <w:tcW w:w="8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69B83" w14:textId="77777777" w:rsidR="00D03E1C" w:rsidRDefault="00D03E1C" w:rsidP="002A5382"/>
          <w:p w14:paraId="1BD8B500" w14:textId="77777777" w:rsidR="00D03E1C" w:rsidRDefault="00D03E1C" w:rsidP="002A5382"/>
          <w:p w14:paraId="63A4949E" w14:textId="77777777" w:rsidR="00D03E1C" w:rsidRPr="00A75830" w:rsidRDefault="00D03E1C" w:rsidP="002A5382"/>
          <w:p w14:paraId="3BE66683" w14:textId="77777777" w:rsidR="00D03E1C" w:rsidRPr="00F01F09" w:rsidRDefault="00D03E1C" w:rsidP="002A5382"/>
          <w:p w14:paraId="224E7762" w14:textId="77777777" w:rsidR="000B4892" w:rsidRDefault="00420730" w:rsidP="002A5382">
            <w:pPr>
              <w:pStyle w:val="Titolo"/>
            </w:pPr>
            <w:r>
              <w:t xml:space="preserve">Osservatorio sui bilanci delle SRL </w:t>
            </w:r>
            <w:r w:rsidR="000B4892">
              <w:t>2019</w:t>
            </w:r>
          </w:p>
          <w:p w14:paraId="10F785C3" w14:textId="233779F5" w:rsidR="00D03E1C" w:rsidRPr="00D9032B" w:rsidRDefault="00E33596" w:rsidP="002A5382">
            <w:pPr>
              <w:pStyle w:val="Titolo"/>
            </w:pPr>
            <w:r>
              <w:t>Focus</w:t>
            </w:r>
            <w:r w:rsidR="00C429DD">
              <w:t xml:space="preserve"> </w:t>
            </w:r>
            <w:r w:rsidR="00511EF3">
              <w:t xml:space="preserve">settore </w:t>
            </w:r>
            <w:r w:rsidR="00C429DD">
              <w:t>industria</w:t>
            </w:r>
          </w:p>
          <w:p w14:paraId="02D338F9" w14:textId="77777777" w:rsidR="00D03E1C" w:rsidRPr="00F01F09" w:rsidRDefault="00D03E1C" w:rsidP="002A5382"/>
          <w:p w14:paraId="7C3D6598" w14:textId="77777777" w:rsidR="00D03E1C" w:rsidRDefault="00D03E1C" w:rsidP="002A5382">
            <w:pPr>
              <w:rPr>
                <w:color w:val="000000" w:themeColor="text1"/>
              </w:rPr>
            </w:pPr>
          </w:p>
          <w:p w14:paraId="5A6F80D0" w14:textId="77777777" w:rsidR="00EB3649" w:rsidRDefault="00EB3649" w:rsidP="002A5382"/>
          <w:p w14:paraId="02ADA16E" w14:textId="77777777" w:rsidR="00EB3649" w:rsidRDefault="00EB3649" w:rsidP="002A5382"/>
          <w:p w14:paraId="314708DB" w14:textId="77777777" w:rsidR="002661ED" w:rsidRDefault="002661ED" w:rsidP="002661ED">
            <w:pPr>
              <w:spacing w:line="360" w:lineRule="auto"/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  <w:t>Tommaso Di Nardo</w:t>
            </w:r>
          </w:p>
          <w:p w14:paraId="1280A753" w14:textId="5B6752D7" w:rsidR="00754EC8" w:rsidRPr="002661ED" w:rsidRDefault="00511EF3" w:rsidP="00C64D9A">
            <w:pPr>
              <w:spacing w:line="360" w:lineRule="auto"/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  <w:t>R</w:t>
            </w:r>
            <w:r w:rsidR="00754EC8" w:rsidRPr="002661ED"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  <w:t>oberto De Luca</w:t>
            </w:r>
          </w:p>
          <w:p w14:paraId="6C9FCF60" w14:textId="77777777" w:rsidR="009945AE" w:rsidRDefault="009945AE" w:rsidP="00C64D9A">
            <w:pPr>
              <w:spacing w:line="360" w:lineRule="auto"/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  <w:t>Nicola Lucido</w:t>
            </w:r>
          </w:p>
          <w:p w14:paraId="12AC0DA2" w14:textId="77777777" w:rsidR="00511EF3" w:rsidRDefault="00511EF3" w:rsidP="00511EF3">
            <w:pPr>
              <w:spacing w:line="360" w:lineRule="auto"/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</w:pPr>
            <w:r>
              <w:rPr>
                <w:rStyle w:val="Enfasicorsivo"/>
                <w:rFonts w:ascii="Garamond" w:hAnsi="Garamond"/>
                <w:i w:val="0"/>
                <w:color w:val="000000" w:themeColor="text1"/>
                <w:sz w:val="26"/>
                <w:szCs w:val="26"/>
              </w:rPr>
              <w:t>Gianluca Scardocci</w:t>
            </w:r>
          </w:p>
          <w:p w14:paraId="49E386DE" w14:textId="77777777" w:rsidR="00D03E1C" w:rsidRPr="00D9032B" w:rsidRDefault="00D03E1C" w:rsidP="002A5382">
            <w:pPr>
              <w:rPr>
                <w:rFonts w:ascii="Garamond" w:hAnsi="Garamond"/>
                <w:i/>
                <w:iCs/>
                <w:sz w:val="26"/>
                <w:szCs w:val="26"/>
              </w:rPr>
            </w:pPr>
          </w:p>
        </w:tc>
      </w:tr>
      <w:tr w:rsidR="00D03E1C" w:rsidRPr="00A6595F" w14:paraId="19D730D5" w14:textId="77777777" w:rsidTr="002A5382">
        <w:trPr>
          <w:trHeight w:val="352"/>
          <w:jc w:val="center"/>
        </w:trPr>
        <w:tc>
          <w:tcPr>
            <w:tcW w:w="8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82EC6" w14:textId="77777777" w:rsidR="00D03E1C" w:rsidRPr="00A6595F" w:rsidRDefault="00D03E1C" w:rsidP="002A5382">
            <w:pPr>
              <w:pStyle w:val="Titolo5"/>
              <w:outlineLvl w:val="4"/>
            </w:pPr>
          </w:p>
        </w:tc>
      </w:tr>
    </w:tbl>
    <w:p w14:paraId="6F79191E" w14:textId="77777777" w:rsidR="00D03E1C" w:rsidRDefault="00D03E1C" w:rsidP="00D03E1C">
      <w:pPr>
        <w:rPr>
          <w:rFonts w:ascii="Times New Roman" w:hAnsi="Times New Roman" w:cs="Times New Roman"/>
          <w:b/>
          <w:sz w:val="26"/>
          <w:szCs w:val="26"/>
        </w:rPr>
      </w:pPr>
    </w:p>
    <w:p w14:paraId="13C58784" w14:textId="77777777" w:rsidR="006024FF" w:rsidRDefault="006024FF" w:rsidP="00D03E1C">
      <w:pPr>
        <w:rPr>
          <w:rFonts w:ascii="Times New Roman" w:hAnsi="Times New Roman" w:cs="Times New Roman"/>
          <w:b/>
          <w:sz w:val="26"/>
          <w:szCs w:val="26"/>
        </w:rPr>
      </w:pPr>
    </w:p>
    <w:p w14:paraId="1BEC90EC" w14:textId="77777777" w:rsidR="006024FF" w:rsidRDefault="006024FF" w:rsidP="00D03E1C">
      <w:pPr>
        <w:rPr>
          <w:rFonts w:ascii="Times New Roman" w:hAnsi="Times New Roman" w:cs="Times New Roman"/>
          <w:b/>
          <w:sz w:val="26"/>
          <w:szCs w:val="26"/>
        </w:rPr>
      </w:pPr>
    </w:p>
    <w:p w14:paraId="5D806987" w14:textId="732F6C40" w:rsidR="00D03E1C" w:rsidRPr="00FA3980" w:rsidRDefault="00094F7A" w:rsidP="00D03E1C">
      <w:pPr>
        <w:ind w:left="426"/>
        <w:rPr>
          <w:rFonts w:ascii="Garamond" w:hAnsi="Garamond" w:cs="Times New Roman"/>
          <w:smallCaps/>
          <w:sz w:val="26"/>
          <w:szCs w:val="26"/>
        </w:rPr>
      </w:pPr>
      <w:r>
        <w:rPr>
          <w:rFonts w:ascii="Garamond" w:hAnsi="Garamond" w:cs="Times New Roman"/>
          <w:smallCaps/>
          <w:sz w:val="26"/>
          <w:szCs w:val="26"/>
        </w:rPr>
        <w:t>1</w:t>
      </w:r>
      <w:r w:rsidR="005356D4">
        <w:rPr>
          <w:rFonts w:ascii="Garamond" w:hAnsi="Garamond" w:cs="Times New Roman"/>
          <w:smallCaps/>
          <w:sz w:val="26"/>
          <w:szCs w:val="26"/>
        </w:rPr>
        <w:t>5</w:t>
      </w:r>
      <w:r w:rsidR="006B6384">
        <w:rPr>
          <w:rFonts w:ascii="Garamond" w:hAnsi="Garamond" w:cs="Times New Roman"/>
          <w:smallCaps/>
          <w:sz w:val="26"/>
          <w:szCs w:val="26"/>
        </w:rPr>
        <w:t xml:space="preserve"> </w:t>
      </w:r>
      <w:r>
        <w:rPr>
          <w:rFonts w:ascii="Garamond" w:hAnsi="Garamond" w:cs="Times New Roman"/>
          <w:smallCaps/>
          <w:sz w:val="26"/>
          <w:szCs w:val="26"/>
        </w:rPr>
        <w:t>febbraio</w:t>
      </w:r>
      <w:r w:rsidR="00336019">
        <w:rPr>
          <w:rFonts w:ascii="Garamond" w:hAnsi="Garamond" w:cs="Times New Roman"/>
          <w:smallCaps/>
          <w:sz w:val="26"/>
          <w:szCs w:val="26"/>
        </w:rPr>
        <w:t xml:space="preserve"> 20</w:t>
      </w:r>
      <w:r w:rsidR="00A62D84">
        <w:rPr>
          <w:rFonts w:ascii="Garamond" w:hAnsi="Garamond" w:cs="Times New Roman"/>
          <w:smallCaps/>
          <w:sz w:val="26"/>
          <w:szCs w:val="26"/>
        </w:rPr>
        <w:t>21</w:t>
      </w:r>
    </w:p>
    <w:p w14:paraId="225D37F0" w14:textId="77777777" w:rsidR="00D03E1C" w:rsidRDefault="00D03E1C" w:rsidP="00D03E1C">
      <w:pPr>
        <w:rPr>
          <w:rFonts w:cstheme="minorHAnsi"/>
          <w:b/>
          <w:smallCaps/>
          <w:sz w:val="24"/>
          <w:szCs w:val="24"/>
        </w:rPr>
        <w:sectPr w:rsidR="00D03E1C" w:rsidSect="000C48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418" w:bottom="1134" w:left="1418" w:header="709" w:footer="709" w:gutter="0"/>
          <w:cols w:space="708"/>
          <w:titlePg/>
          <w:docGrid w:linePitch="360"/>
        </w:sectPr>
      </w:pPr>
    </w:p>
    <w:sdt>
      <w:sdtPr>
        <w:id w:val="28693447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1B78DF80" w14:textId="7C1BAA25" w:rsidR="007F5278" w:rsidRDefault="00700B66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64210241" w:history="1">
            <w:r w:rsidR="007F5278" w:rsidRPr="00537ED6">
              <w:rPr>
                <w:rStyle w:val="Collegamentoipertestuale"/>
                <w:noProof/>
              </w:rPr>
              <w:t>Presentazione</w:t>
            </w:r>
            <w:r w:rsidR="007F5278">
              <w:rPr>
                <w:noProof/>
                <w:webHidden/>
              </w:rPr>
              <w:tab/>
            </w:r>
            <w:r w:rsidR="007F5278">
              <w:rPr>
                <w:noProof/>
                <w:webHidden/>
              </w:rPr>
              <w:fldChar w:fldCharType="begin"/>
            </w:r>
            <w:r w:rsidR="007F5278">
              <w:rPr>
                <w:noProof/>
                <w:webHidden/>
              </w:rPr>
              <w:instrText xml:space="preserve"> PAGEREF _Toc64210241 \h </w:instrText>
            </w:r>
            <w:r w:rsidR="007F5278">
              <w:rPr>
                <w:noProof/>
                <w:webHidden/>
              </w:rPr>
            </w:r>
            <w:r w:rsidR="007F5278">
              <w:rPr>
                <w:noProof/>
                <w:webHidden/>
              </w:rPr>
              <w:fldChar w:fldCharType="separate"/>
            </w:r>
            <w:r w:rsidR="007F5278">
              <w:rPr>
                <w:noProof/>
                <w:webHidden/>
              </w:rPr>
              <w:t>3</w:t>
            </w:r>
            <w:r w:rsidR="007F5278">
              <w:rPr>
                <w:noProof/>
                <w:webHidden/>
              </w:rPr>
              <w:fldChar w:fldCharType="end"/>
            </w:r>
          </w:hyperlink>
        </w:p>
        <w:p w14:paraId="0722F29E" w14:textId="59773722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42" w:history="1"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>Andamento dei singoli comparti produttivi dell’Industria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244F4" w14:textId="66EDD4A2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43" w:history="1"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>Andamento per macroaree territoriali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C2F43" w14:textId="0F7AAB42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44" w:history="1">
            <w:r w:rsidRPr="00537ED6">
              <w:rPr>
                <w:rStyle w:val="Collegamentoipertestuale"/>
                <w:noProof/>
              </w:rPr>
              <w:t>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E0964" w14:textId="18357E5C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45" w:history="1">
            <w:r w:rsidRPr="00537ED6">
              <w:rPr>
                <w:rStyle w:val="Collegamentoipertestuale"/>
                <w:i/>
                <w:iCs/>
                <w:noProof/>
              </w:rPr>
              <w:t>Tabella 1</w:t>
            </w:r>
            <w:r w:rsidRPr="00537ED6">
              <w:rPr>
                <w:rStyle w:val="Collegamentoipertestuale"/>
                <w:noProof/>
              </w:rPr>
              <w:t xml:space="preserve"> - Srl totali e industria per le quali è disponibile il bilancio negli anni indicati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AF1F5" w14:textId="6697E811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46" w:history="1">
            <w:r w:rsidRPr="00537ED6">
              <w:rPr>
                <w:rStyle w:val="Collegamentoipertestuale"/>
                <w:rFonts w:cs="Calibri"/>
                <w:i/>
                <w:iCs/>
                <w:noProof/>
              </w:rPr>
              <w:t>Tabella 2</w:t>
            </w:r>
            <w:r w:rsidRPr="00537ED6">
              <w:rPr>
                <w:rStyle w:val="Collegamentoipertestuale"/>
                <w:rFonts w:cs="Calibri"/>
                <w:noProof/>
              </w:rPr>
              <w:t xml:space="preserve"> - Composizione percentuale per classi dimensionali Srl totali e industria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1196C" w14:textId="06CF04AD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47" w:history="1">
            <w:r w:rsidRPr="00537ED6">
              <w:rPr>
                <w:rStyle w:val="Collegamentoipertestuale"/>
                <w:i/>
                <w:iCs/>
                <w:noProof/>
              </w:rPr>
              <w:t>Tabella 3</w:t>
            </w:r>
            <w:r w:rsidRPr="00537ED6">
              <w:rPr>
                <w:rStyle w:val="Collegamentoipertestuale"/>
                <w:noProof/>
              </w:rPr>
              <w:t xml:space="preserve"> - Variazione 2019 su 2018 per classi dimensionali di fatturato Srl attive settore Industria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E920C5" w14:textId="60706E07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48" w:history="1">
            <w:r w:rsidRPr="00537ED6">
              <w:rPr>
                <w:rStyle w:val="Collegamentoipertestuale"/>
                <w:i/>
                <w:noProof/>
              </w:rPr>
              <w:t xml:space="preserve">Tabella 4 - </w:t>
            </w:r>
            <w:r w:rsidRPr="00537ED6">
              <w:rPr>
                <w:rStyle w:val="Collegamentoipertestuale"/>
                <w:noProof/>
              </w:rPr>
              <w:t xml:space="preserve">Numero di Società, Ricavi, Addetti e quote percentuali per i singoli </w:t>
            </w:r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>comparti industriali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B0BEC" w14:textId="4C101E88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49" w:history="1">
            <w:r w:rsidRPr="00537ED6">
              <w:rPr>
                <w:rStyle w:val="Collegamentoipertestuale"/>
                <w:rFonts w:eastAsia="Times New Roman"/>
                <w:i/>
                <w:iCs/>
                <w:noProof/>
                <w:lang w:eastAsia="it-IT"/>
              </w:rPr>
              <w:t>Tabella 5</w:t>
            </w:r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 xml:space="preserve"> - Variazione percentuale 2019 su 2018 dipendenti per comparti industriali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514DC" w14:textId="643CD0A1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0" w:history="1">
            <w:r w:rsidRPr="00537ED6">
              <w:rPr>
                <w:rStyle w:val="Collegamentoipertestuale"/>
                <w:rFonts w:eastAsia="Times New Roman"/>
                <w:i/>
                <w:iCs/>
                <w:noProof/>
                <w:lang w:eastAsia="it-IT"/>
              </w:rPr>
              <w:t>Tabella 6</w:t>
            </w:r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 xml:space="preserve"> - Variazione percentuale 2019 su 2018 ricavi per comparti industriali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DF146" w14:textId="3EEABF11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1" w:history="1">
            <w:r w:rsidRPr="00537ED6">
              <w:rPr>
                <w:rStyle w:val="Collegamentoipertestuale"/>
                <w:i/>
                <w:noProof/>
              </w:rPr>
              <w:t>Tabella 7</w:t>
            </w:r>
            <w:r w:rsidRPr="00537ED6">
              <w:rPr>
                <w:rStyle w:val="Collegamentoipertestuale"/>
                <w:noProof/>
              </w:rPr>
              <w:t xml:space="preserve"> - Variazione percentuale 2019 su 2018 valore della produzione per </w:t>
            </w:r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>comparti industriali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DCA7E" w14:textId="6DAC80AD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2" w:history="1">
            <w:r w:rsidRPr="00537ED6">
              <w:rPr>
                <w:rStyle w:val="Collegamentoipertestuale"/>
                <w:rFonts w:eastAsia="Times New Roman" w:cstheme="minorHAnsi"/>
                <w:i/>
                <w:iCs/>
                <w:noProof/>
                <w:lang w:eastAsia="it-IT"/>
              </w:rPr>
              <w:t xml:space="preserve">Tabella 8 - </w:t>
            </w:r>
            <w:r w:rsidRPr="00537ED6">
              <w:rPr>
                <w:rStyle w:val="Collegamentoipertestuale"/>
                <w:rFonts w:eastAsia="Times New Roman" w:cstheme="minorHAnsi"/>
                <w:noProof/>
                <w:lang w:eastAsia="it-IT"/>
              </w:rPr>
              <w:t xml:space="preserve">Variazione percentuale 2019 su 2018 valore aggiunto per </w:t>
            </w:r>
            <w:r w:rsidRPr="00537ED6">
              <w:rPr>
                <w:rStyle w:val="Collegamentoipertestuale"/>
                <w:rFonts w:eastAsia="Times New Roman"/>
                <w:noProof/>
                <w:lang w:eastAsia="it-IT"/>
              </w:rPr>
              <w:t>comparti industriali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E293A" w14:textId="34D02ECD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3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9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- Principali Indici di bilancio del settore Industria. Anni 2019-2018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06DD0" w14:textId="6A81F392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4" w:history="1">
            <w:r w:rsidRPr="00537ED6">
              <w:rPr>
                <w:rStyle w:val="Collegamentoipertestuale"/>
                <w:i/>
                <w:iCs/>
                <w:noProof/>
              </w:rPr>
              <w:t>Tabella 10</w:t>
            </w:r>
            <w:r w:rsidRPr="00537ED6">
              <w:rPr>
                <w:rStyle w:val="Collegamentoipertestuale"/>
                <w:noProof/>
              </w:rPr>
              <w:t xml:space="preserve"> - Indici di bilancio: ROE e ROI per singolo comparto industriale. Anni 2019-2018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192F0" w14:textId="014347F3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55" w:history="1">
            <w:r w:rsidRPr="00537ED6">
              <w:rPr>
                <w:rStyle w:val="Collegamentoipertestuale"/>
                <w:noProof/>
              </w:rPr>
              <w:t>Principali Indicatori economici e finanziari per classe dimensionale: valori aggregati e variazioni percentuali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EDAE0" w14:textId="69255EEE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6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11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- Totale imprese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FAD78" w14:textId="79786639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7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12</w:t>
            </w:r>
            <w:r w:rsidRPr="00537ED6">
              <w:rPr>
                <w:rStyle w:val="Collegamentoipertestuale"/>
                <w:rFonts w:cstheme="minorHAnsi"/>
                <w:noProof/>
                <w:spacing w:val="-6"/>
              </w:rPr>
              <w:t xml:space="preserve"> - </w:t>
            </w:r>
            <w:r w:rsidRPr="00537ED6">
              <w:rPr>
                <w:rStyle w:val="Collegamentoipertestuale"/>
                <w:rFonts w:cstheme="minorHAnsi"/>
                <w:noProof/>
              </w:rPr>
              <w:t>Microimprese (fatturato fino a 350 mila euro)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EDC96" w14:textId="0268E7FB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8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13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- Piccole imprese (fatturato tra 350 mila e 2 milioni di euro)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B15A68" w14:textId="2363BD83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59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14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</w:t>
            </w:r>
            <w:r w:rsidRPr="00537ED6">
              <w:rPr>
                <w:rStyle w:val="Collegamentoipertestuale"/>
                <w:rFonts w:cstheme="minorHAnsi"/>
                <w:noProof/>
                <w:spacing w:val="-6"/>
              </w:rPr>
              <w:t>-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Medie imprese (fatturato tra 2 e 10 milioni di euro)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6218B" w14:textId="33BD0766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60" w:history="1">
            <w:r w:rsidRPr="00537ED6">
              <w:rPr>
                <w:rStyle w:val="Collegamentoipertestuale"/>
                <w:rFonts w:cstheme="minorHAnsi"/>
                <w:i/>
                <w:iCs/>
                <w:noProof/>
              </w:rPr>
              <w:t>Tabella 15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</w:t>
            </w:r>
            <w:r w:rsidRPr="00537ED6">
              <w:rPr>
                <w:rStyle w:val="Collegamentoipertestuale"/>
                <w:rFonts w:cstheme="minorHAnsi"/>
                <w:noProof/>
                <w:spacing w:val="-6"/>
              </w:rPr>
              <w:t>-</w:t>
            </w:r>
            <w:r w:rsidRPr="00537ED6">
              <w:rPr>
                <w:rStyle w:val="Collegamentoipertestuale"/>
                <w:rFonts w:cstheme="minorHAnsi"/>
                <w:noProof/>
              </w:rPr>
              <w:t xml:space="preserve"> Grandi imprese (fatturato oltre 10 milioni di euro)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1C290" w14:textId="0454668B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61" w:history="1">
            <w:r w:rsidRPr="00537ED6">
              <w:rPr>
                <w:rStyle w:val="Collegamentoipertestuale"/>
                <w:noProof/>
              </w:rPr>
              <w:t>Principali Indicatori economici e finanziari per macroarea territoriale: valori aggregati e variazioni percentuali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1EBE6" w14:textId="42802629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62" w:history="1">
            <w:r w:rsidRPr="00537ED6">
              <w:rPr>
                <w:rStyle w:val="Collegamentoipertestuale"/>
                <w:i/>
                <w:iCs/>
                <w:noProof/>
              </w:rPr>
              <w:t>Tabella 16</w:t>
            </w:r>
            <w:r w:rsidRPr="00537ED6">
              <w:rPr>
                <w:rStyle w:val="Collegamentoipertestuale"/>
                <w:noProof/>
              </w:rPr>
              <w:t xml:space="preserve"> </w:t>
            </w:r>
            <w:r w:rsidRPr="00537ED6">
              <w:rPr>
                <w:rStyle w:val="Collegamentoipertestuale"/>
                <w:noProof/>
                <w:spacing w:val="-6"/>
              </w:rPr>
              <w:t>-</w:t>
            </w:r>
            <w:r w:rsidRPr="00537ED6">
              <w:rPr>
                <w:rStyle w:val="Collegamentoipertestuale"/>
                <w:noProof/>
              </w:rPr>
              <w:t xml:space="preserve"> Nord-Ovest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3AB5F" w14:textId="6F01DEE1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63" w:history="1">
            <w:r w:rsidRPr="00537ED6">
              <w:rPr>
                <w:rStyle w:val="Collegamentoipertestuale"/>
                <w:i/>
                <w:iCs/>
                <w:noProof/>
              </w:rPr>
              <w:t>Tabella 17</w:t>
            </w:r>
            <w:r w:rsidRPr="00537ED6">
              <w:rPr>
                <w:rStyle w:val="Collegamentoipertestuale"/>
                <w:noProof/>
              </w:rPr>
              <w:t xml:space="preserve"> </w:t>
            </w:r>
            <w:r w:rsidRPr="00537ED6">
              <w:rPr>
                <w:rStyle w:val="Collegamentoipertestuale"/>
                <w:noProof/>
                <w:spacing w:val="-6"/>
              </w:rPr>
              <w:t xml:space="preserve">- </w:t>
            </w:r>
            <w:r w:rsidRPr="00537ED6">
              <w:rPr>
                <w:rStyle w:val="Collegamentoipertestuale"/>
                <w:noProof/>
              </w:rPr>
              <w:t>Nord-Est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24D07" w14:textId="161833A5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64" w:history="1">
            <w:r w:rsidRPr="00537ED6">
              <w:rPr>
                <w:rStyle w:val="Collegamentoipertestuale"/>
                <w:i/>
                <w:iCs/>
                <w:noProof/>
              </w:rPr>
              <w:t>Tabella 18</w:t>
            </w:r>
            <w:r w:rsidRPr="00537ED6">
              <w:rPr>
                <w:rStyle w:val="Collegamentoipertestuale"/>
                <w:noProof/>
              </w:rPr>
              <w:t xml:space="preserve"> </w:t>
            </w:r>
            <w:r w:rsidRPr="00537ED6">
              <w:rPr>
                <w:rStyle w:val="Collegamentoipertestuale"/>
                <w:noProof/>
                <w:spacing w:val="-6"/>
              </w:rPr>
              <w:t>-</w:t>
            </w:r>
            <w:r w:rsidRPr="00537ED6">
              <w:rPr>
                <w:rStyle w:val="Collegamentoipertestuale"/>
                <w:noProof/>
              </w:rPr>
              <w:t xml:space="preserve"> Centro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1E693" w14:textId="4B480A7F" w:rsidR="007F5278" w:rsidRDefault="007F5278">
          <w:pPr>
            <w:pStyle w:val="Sommario2"/>
            <w:rPr>
              <w:rFonts w:eastAsiaTheme="minorEastAsia"/>
              <w:noProof/>
              <w:sz w:val="22"/>
              <w:lang w:eastAsia="it-IT"/>
            </w:rPr>
          </w:pPr>
          <w:hyperlink w:anchor="_Toc64210265" w:history="1">
            <w:r w:rsidRPr="00537ED6">
              <w:rPr>
                <w:rStyle w:val="Collegamentoipertestuale"/>
                <w:i/>
                <w:iCs/>
                <w:noProof/>
              </w:rPr>
              <w:t>Tabella 19</w:t>
            </w:r>
            <w:r w:rsidRPr="00537ED6">
              <w:rPr>
                <w:rStyle w:val="Collegamentoipertestuale"/>
                <w:noProof/>
              </w:rPr>
              <w:t xml:space="preserve"> </w:t>
            </w:r>
            <w:r w:rsidRPr="00537ED6">
              <w:rPr>
                <w:rStyle w:val="Collegamentoipertestuale"/>
                <w:noProof/>
                <w:spacing w:val="-6"/>
              </w:rPr>
              <w:t>-</w:t>
            </w:r>
            <w:r w:rsidRPr="00537ED6">
              <w:rPr>
                <w:rStyle w:val="Collegamentoipertestuale"/>
                <w:noProof/>
              </w:rPr>
              <w:t xml:space="preserve"> Sud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777DC" w14:textId="7410291E" w:rsidR="007F5278" w:rsidRDefault="007F5278">
          <w:pPr>
            <w:pStyle w:val="Sommario1"/>
            <w:rPr>
              <w:rFonts w:eastAsiaTheme="minorEastAsia"/>
              <w:b w:val="0"/>
              <w:smallCaps w:val="0"/>
              <w:noProof/>
              <w:lang w:eastAsia="it-IT"/>
            </w:rPr>
          </w:pPr>
          <w:hyperlink w:anchor="_Toc64210266" w:history="1">
            <w:r w:rsidRPr="00537ED6">
              <w:rPr>
                <w:rStyle w:val="Collegamentoipertestuale"/>
                <w:noProof/>
              </w:rPr>
              <w:t>Nota metodologica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_Toc64210266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8F110" w14:textId="3E4E0053" w:rsidR="00325C42" w:rsidRPr="00325C42" w:rsidRDefault="00700B66" w:rsidP="00700B66">
          <w:pPr>
            <w:pStyle w:val="Sommario1"/>
          </w:pPr>
          <w:r>
            <w:rPr>
              <w:b w:val="0"/>
              <w:bCs/>
            </w:rPr>
            <w:fldChar w:fldCharType="end"/>
          </w:r>
        </w:p>
      </w:sdtContent>
    </w:sdt>
    <w:p w14:paraId="758B1F5F" w14:textId="77777777" w:rsidR="00077302" w:rsidRDefault="00077302" w:rsidP="00077302"/>
    <w:p w14:paraId="5BF9ED84" w14:textId="43F37ED1" w:rsidR="001A5AF0" w:rsidRPr="00BE312A" w:rsidRDefault="00325C42" w:rsidP="00BE312A">
      <w:pPr>
        <w:pStyle w:val="Titolo1"/>
      </w:pPr>
      <w:bookmarkStart w:id="0" w:name="_Toc25058688"/>
      <w:bookmarkStart w:id="1" w:name="_Toc64210241"/>
      <w:r>
        <w:lastRenderedPageBreak/>
        <w:t>P</w:t>
      </w:r>
      <w:r w:rsidR="001A5AF0" w:rsidRPr="00BE312A">
        <w:t>resentazione</w:t>
      </w:r>
      <w:bookmarkEnd w:id="0"/>
      <w:bookmarkEnd w:id="1"/>
    </w:p>
    <w:p w14:paraId="1CDF8043" w14:textId="548AC5C4" w:rsidR="008D5A29" w:rsidRDefault="00A428AC" w:rsidP="00AF602D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Presentiamo il primo focus settoriale dell’Osservatorio bilanci Srl 2019 dedicato al settore Industria. Il primo report </w:t>
      </w:r>
      <w:r w:rsidR="008D5A29">
        <w:rPr>
          <w:rFonts w:eastAsia="Times New Roman" w:cs="Times New Roman"/>
          <w:bCs/>
          <w:color w:val="000000"/>
          <w:lang w:eastAsia="it-IT"/>
        </w:rPr>
        <w:t xml:space="preserve">dell’Osservatorio bilanci </w:t>
      </w:r>
      <w:r>
        <w:rPr>
          <w:rFonts w:eastAsia="Times New Roman" w:cs="Times New Roman"/>
          <w:bCs/>
          <w:color w:val="000000"/>
          <w:lang w:eastAsia="it-IT"/>
        </w:rPr>
        <w:t xml:space="preserve">Srl </w:t>
      </w:r>
      <w:r w:rsidR="008D5A29">
        <w:rPr>
          <w:rFonts w:eastAsia="Times New Roman" w:cs="Times New Roman"/>
          <w:bCs/>
          <w:color w:val="000000"/>
          <w:lang w:eastAsia="it-IT"/>
        </w:rPr>
        <w:t>201</w:t>
      </w:r>
      <w:r w:rsidR="00024FD8">
        <w:rPr>
          <w:rFonts w:eastAsia="Times New Roman" w:cs="Times New Roman"/>
          <w:bCs/>
          <w:color w:val="000000"/>
          <w:lang w:eastAsia="it-IT"/>
        </w:rPr>
        <w:t>9</w:t>
      </w:r>
      <w:r w:rsidR="008D5A29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è stato pubblicato il 12 gennaio 2021</w:t>
      </w:r>
      <w:r w:rsidR="00E33D6F">
        <w:rPr>
          <w:rStyle w:val="Rimandonotaapidipagina"/>
          <w:rFonts w:eastAsia="Times New Roman" w:cs="Times New Roman"/>
          <w:bCs/>
          <w:color w:val="000000"/>
          <w:lang w:eastAsia="it-IT"/>
        </w:rPr>
        <w:footnoteReference w:id="1"/>
      </w:r>
      <w:r w:rsidR="008D5A29">
        <w:rPr>
          <w:rFonts w:eastAsia="Times New Roman" w:cs="Times New Roman"/>
          <w:bCs/>
          <w:color w:val="000000"/>
          <w:lang w:eastAsia="it-IT"/>
        </w:rPr>
        <w:t>.</w:t>
      </w:r>
    </w:p>
    <w:p w14:paraId="0091033F" w14:textId="3BBC6504" w:rsidR="0069469A" w:rsidRDefault="0069469A" w:rsidP="00AF602D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Oltre ad aggiornare i dati di settore già diffusi in precedenza, il focus estende l’analisi dei dati desumibili dai bilanci delle Srl del settore Industria ai 21 comparti produttivi che lo compongono e alle quattro macroaree territoriali dell’Italia (Nord-ovest, Nord-est, Centro e Sud).</w:t>
      </w:r>
    </w:p>
    <w:p w14:paraId="7A3975D9" w14:textId="091904EE" w:rsidR="00C86811" w:rsidRDefault="000B4892" w:rsidP="00AF602D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Secondo i dati di bilancio elaborati per il focus, le Srl dell’industria</w:t>
      </w:r>
      <w:r w:rsidR="0027454A">
        <w:rPr>
          <w:rFonts w:eastAsia="Times New Roman" w:cs="Times New Roman"/>
          <w:bCs/>
          <w:color w:val="000000"/>
          <w:lang w:eastAsia="it-IT"/>
        </w:rPr>
        <w:t xml:space="preserve"> nel 2019</w:t>
      </w:r>
      <w:r>
        <w:rPr>
          <w:rFonts w:eastAsia="Times New Roman" w:cs="Times New Roman"/>
          <w:bCs/>
          <w:color w:val="000000"/>
          <w:lang w:eastAsia="it-IT"/>
        </w:rPr>
        <w:t xml:space="preserve"> hanno più che dimezzato la crescita dei ricavi rispetto al 2018 pur in presenza di un incremento più sostenuto degli addetti</w:t>
      </w:r>
      <w:r w:rsidR="00E33D6F">
        <w:rPr>
          <w:rFonts w:eastAsia="Times New Roman" w:cs="Times New Roman"/>
          <w:bCs/>
          <w:color w:val="000000"/>
          <w:lang w:eastAsia="it-IT"/>
        </w:rPr>
        <w:t xml:space="preserve">. In particolare, </w:t>
      </w:r>
      <w:r>
        <w:rPr>
          <w:rFonts w:eastAsia="Times New Roman" w:cs="Times New Roman"/>
          <w:bCs/>
          <w:color w:val="000000"/>
          <w:lang w:eastAsia="it-IT"/>
        </w:rPr>
        <w:t>gli</w:t>
      </w:r>
      <w:r w:rsidR="00E33D6F">
        <w:rPr>
          <w:rFonts w:eastAsia="Times New Roman" w:cs="Times New Roman"/>
          <w:bCs/>
          <w:color w:val="000000"/>
          <w:lang w:eastAsia="it-IT"/>
        </w:rPr>
        <w:t xml:space="preserve"> addetti</w:t>
      </w:r>
      <w:r>
        <w:rPr>
          <w:rFonts w:eastAsia="Times New Roman" w:cs="Times New Roman"/>
          <w:bCs/>
          <w:color w:val="000000"/>
          <w:lang w:eastAsia="it-IT"/>
        </w:rPr>
        <w:t xml:space="preserve"> crescono del</w:t>
      </w:r>
      <w:r w:rsidR="00E33D6F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3,1</w:t>
      </w:r>
      <w:r w:rsidR="00E33D6F">
        <w:rPr>
          <w:rFonts w:eastAsia="Times New Roman" w:cs="Times New Roman"/>
          <w:bCs/>
          <w:color w:val="000000"/>
          <w:lang w:eastAsia="it-IT"/>
        </w:rPr>
        <w:t>%</w:t>
      </w:r>
      <w:r>
        <w:rPr>
          <w:rFonts w:eastAsia="Times New Roman" w:cs="Times New Roman"/>
          <w:bCs/>
          <w:color w:val="000000"/>
          <w:lang w:eastAsia="it-IT"/>
        </w:rPr>
        <w:t>, rispetto al 2,1% del 2018, mentre la crescita de</w:t>
      </w:r>
      <w:r w:rsidR="00E33D6F">
        <w:rPr>
          <w:rFonts w:eastAsia="Times New Roman" w:cs="Times New Roman"/>
          <w:bCs/>
          <w:color w:val="000000"/>
          <w:lang w:eastAsia="it-IT"/>
        </w:rPr>
        <w:t xml:space="preserve">i ricavi </w:t>
      </w:r>
      <w:r>
        <w:rPr>
          <w:rFonts w:eastAsia="Times New Roman" w:cs="Times New Roman"/>
          <w:bCs/>
          <w:color w:val="000000"/>
          <w:lang w:eastAsia="it-IT"/>
        </w:rPr>
        <w:t>passa dal 4,8% del 2018 all’1,8% del 2019. L’andamento del valore della produzione segna un rallentamento ancora più marcato (dal 5,2 all’1%), mentre il valore aggiunto mostra un andamento leggermente migliore</w:t>
      </w:r>
      <w:r w:rsidR="0027454A">
        <w:rPr>
          <w:rFonts w:eastAsia="Times New Roman" w:cs="Times New Roman"/>
          <w:bCs/>
          <w:color w:val="000000"/>
          <w:lang w:eastAsia="it-IT"/>
        </w:rPr>
        <w:t xml:space="preserve"> ma pur sempre in decelerazione</w:t>
      </w:r>
      <w:r>
        <w:rPr>
          <w:rFonts w:eastAsia="Times New Roman" w:cs="Times New Roman"/>
          <w:bCs/>
          <w:color w:val="000000"/>
          <w:lang w:eastAsia="it-IT"/>
        </w:rPr>
        <w:t xml:space="preserve"> (+2,8% nel 2019 contro il +4% del 2018). </w:t>
      </w:r>
    </w:p>
    <w:p w14:paraId="63497FBA" w14:textId="7DAFE72A" w:rsidR="007F510E" w:rsidRPr="00700B66" w:rsidRDefault="007F510E" w:rsidP="00700B66">
      <w:pPr>
        <w:spacing w:before="240" w:after="120" w:line="276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700B66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>Grafico 1</w:t>
      </w:r>
      <w:r w:rsidR="00C528DB" w:rsidRPr="00700B66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- </w:t>
      </w:r>
      <w:r w:rsidRPr="00700B66">
        <w:rPr>
          <w:rFonts w:eastAsia="Times New Roman" w:cs="Times New Roman"/>
          <w:color w:val="000000"/>
          <w:sz w:val="20"/>
          <w:szCs w:val="20"/>
          <w:lang w:eastAsia="it-IT"/>
        </w:rPr>
        <w:t xml:space="preserve">Principali indicatori economici. </w:t>
      </w:r>
      <w:r w:rsidR="007337B2" w:rsidRPr="00700B66">
        <w:rPr>
          <w:rFonts w:eastAsia="Times New Roman" w:cs="Times New Roman"/>
          <w:color w:val="000000"/>
          <w:sz w:val="20"/>
          <w:szCs w:val="20"/>
          <w:lang w:eastAsia="it-IT"/>
        </w:rPr>
        <w:t xml:space="preserve">Bilanci Srl </w:t>
      </w:r>
      <w:r w:rsidRPr="00700B66">
        <w:rPr>
          <w:rFonts w:eastAsia="Times New Roman" w:cs="Times New Roman"/>
          <w:color w:val="000000"/>
          <w:sz w:val="20"/>
          <w:szCs w:val="20"/>
          <w:lang w:eastAsia="it-IT"/>
        </w:rPr>
        <w:t>Settore Industria. Tassi di crescita annuali. Anni 201</w:t>
      </w:r>
      <w:r w:rsidR="0027454A">
        <w:rPr>
          <w:rFonts w:eastAsia="Times New Roman" w:cs="Times New Roman"/>
          <w:color w:val="000000"/>
          <w:sz w:val="20"/>
          <w:szCs w:val="20"/>
          <w:lang w:eastAsia="it-IT"/>
        </w:rPr>
        <w:t>8</w:t>
      </w:r>
      <w:r w:rsidRPr="00700B66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e 201</w:t>
      </w:r>
      <w:r w:rsidR="0027454A">
        <w:rPr>
          <w:rFonts w:eastAsia="Times New Roman" w:cs="Times New Roman"/>
          <w:color w:val="000000"/>
          <w:sz w:val="20"/>
          <w:szCs w:val="20"/>
          <w:lang w:eastAsia="it-IT"/>
        </w:rPr>
        <w:t>9</w:t>
      </w:r>
    </w:p>
    <w:p w14:paraId="1635F926" w14:textId="1469F24A" w:rsidR="007F510E" w:rsidRDefault="000B4892" w:rsidP="000875D9">
      <w:pPr>
        <w:spacing w:after="0" w:line="276" w:lineRule="auto"/>
        <w:rPr>
          <w:rFonts w:eastAsia="Times New Roman" w:cs="Times New Roman"/>
          <w:bCs/>
          <w:color w:val="000000"/>
          <w:lang w:eastAsia="it-IT"/>
        </w:rPr>
      </w:pPr>
      <w:r>
        <w:rPr>
          <w:noProof/>
        </w:rPr>
        <w:drawing>
          <wp:inline distT="0" distB="0" distL="0" distR="0" wp14:anchorId="3F80C764" wp14:editId="0134DD5F">
            <wp:extent cx="4715510" cy="3162300"/>
            <wp:effectExtent l="0" t="0" r="889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382A3F" w14:textId="73506EE7" w:rsidR="000875D9" w:rsidRDefault="00B42617" w:rsidP="00065836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Oltre a ciò, </w:t>
      </w:r>
      <w:r w:rsidR="007337B2">
        <w:rPr>
          <w:rFonts w:eastAsia="Times New Roman" w:cs="Times New Roman"/>
          <w:bCs/>
          <w:color w:val="000000"/>
          <w:lang w:eastAsia="it-IT"/>
        </w:rPr>
        <w:t>il focus</w:t>
      </w:r>
      <w:r w:rsidR="00F07A39">
        <w:rPr>
          <w:rFonts w:eastAsia="Times New Roman" w:cs="Times New Roman"/>
          <w:bCs/>
          <w:color w:val="000000"/>
          <w:lang w:eastAsia="it-IT"/>
        </w:rPr>
        <w:t xml:space="preserve"> riporta </w:t>
      </w:r>
      <w:r w:rsidR="00E33596">
        <w:rPr>
          <w:rFonts w:eastAsia="Times New Roman" w:cs="Times New Roman"/>
          <w:bCs/>
          <w:color w:val="000000"/>
          <w:lang w:eastAsia="it-IT"/>
        </w:rPr>
        <w:t>i</w:t>
      </w:r>
      <w:r w:rsidR="00F07A39">
        <w:rPr>
          <w:rFonts w:eastAsia="Times New Roman" w:cs="Times New Roman"/>
          <w:bCs/>
          <w:color w:val="000000"/>
          <w:lang w:eastAsia="it-IT"/>
        </w:rPr>
        <w:t xml:space="preserve"> principali indici di bilancio</w:t>
      </w:r>
      <w:r>
        <w:rPr>
          <w:rFonts w:eastAsia="Times New Roman" w:cs="Times New Roman"/>
          <w:bCs/>
          <w:color w:val="000000"/>
          <w:lang w:eastAsia="it-IT"/>
        </w:rPr>
        <w:t xml:space="preserve"> di natura economico-finanziaria</w:t>
      </w:r>
      <w:r w:rsidR="00F07A39">
        <w:rPr>
          <w:rFonts w:eastAsia="Times New Roman" w:cs="Times New Roman"/>
          <w:bCs/>
          <w:color w:val="000000"/>
          <w:lang w:eastAsia="it-IT"/>
        </w:rPr>
        <w:t xml:space="preserve"> calcolati sui valori aggregati </w:t>
      </w:r>
      <w:r w:rsidR="007337B2">
        <w:rPr>
          <w:rFonts w:eastAsia="Times New Roman" w:cs="Times New Roman"/>
          <w:bCs/>
          <w:color w:val="000000"/>
          <w:lang w:eastAsia="it-IT"/>
        </w:rPr>
        <w:t xml:space="preserve">del settore Industria </w:t>
      </w:r>
      <w:r>
        <w:rPr>
          <w:rFonts w:eastAsia="Times New Roman" w:cs="Times New Roman"/>
          <w:bCs/>
          <w:color w:val="000000"/>
          <w:lang w:eastAsia="it-IT"/>
        </w:rPr>
        <w:t xml:space="preserve">relativamente agli </w:t>
      </w:r>
      <w:r w:rsidR="00F07A39">
        <w:rPr>
          <w:rFonts w:eastAsia="Times New Roman" w:cs="Times New Roman"/>
          <w:bCs/>
          <w:color w:val="000000"/>
          <w:lang w:eastAsia="it-IT"/>
        </w:rPr>
        <w:t>anni 201</w:t>
      </w:r>
      <w:r w:rsidR="0027454A">
        <w:rPr>
          <w:rFonts w:eastAsia="Times New Roman" w:cs="Times New Roman"/>
          <w:bCs/>
          <w:color w:val="000000"/>
          <w:lang w:eastAsia="it-IT"/>
        </w:rPr>
        <w:t>8</w:t>
      </w:r>
      <w:r w:rsidR="00F07A39">
        <w:rPr>
          <w:rFonts w:eastAsia="Times New Roman" w:cs="Times New Roman"/>
          <w:bCs/>
          <w:color w:val="000000"/>
          <w:lang w:eastAsia="it-IT"/>
        </w:rPr>
        <w:t xml:space="preserve"> e 201</w:t>
      </w:r>
      <w:r w:rsidR="0027454A">
        <w:rPr>
          <w:rFonts w:eastAsia="Times New Roman" w:cs="Times New Roman"/>
          <w:bCs/>
          <w:color w:val="000000"/>
          <w:lang w:eastAsia="it-IT"/>
        </w:rPr>
        <w:t>9</w:t>
      </w:r>
      <w:r w:rsidR="00E33596">
        <w:rPr>
          <w:rFonts w:eastAsia="Times New Roman" w:cs="Times New Roman"/>
          <w:bCs/>
          <w:color w:val="000000"/>
          <w:lang w:eastAsia="it-IT"/>
        </w:rPr>
        <w:t xml:space="preserve">. </w:t>
      </w:r>
      <w:r w:rsidR="0069469A">
        <w:rPr>
          <w:rFonts w:eastAsia="Times New Roman" w:cs="Times New Roman"/>
          <w:bCs/>
          <w:color w:val="000000"/>
          <w:lang w:eastAsia="it-IT"/>
        </w:rPr>
        <w:t>In questo caso, il campione di bilanci di Srl esaminati si riduce dal momento che sono esclus</w:t>
      </w:r>
      <w:r w:rsidR="0028445D">
        <w:rPr>
          <w:rFonts w:eastAsia="Times New Roman" w:cs="Times New Roman"/>
          <w:bCs/>
          <w:color w:val="000000"/>
          <w:lang w:eastAsia="it-IT"/>
        </w:rPr>
        <w:t xml:space="preserve">e dall’analisi le società </w:t>
      </w:r>
      <w:r w:rsidR="0069469A">
        <w:rPr>
          <w:rFonts w:eastAsia="Times New Roman" w:cs="Times New Roman"/>
          <w:bCs/>
          <w:color w:val="000000"/>
          <w:lang w:eastAsia="it-IT"/>
        </w:rPr>
        <w:t xml:space="preserve">che presentano un patrimonio netto o un </w:t>
      </w:r>
      <w:r w:rsidR="0028445D">
        <w:rPr>
          <w:rFonts w:eastAsia="Times New Roman" w:cs="Times New Roman"/>
          <w:bCs/>
          <w:color w:val="000000"/>
          <w:lang w:eastAsia="it-IT"/>
        </w:rPr>
        <w:t>risultato di esercizio</w:t>
      </w:r>
      <w:r w:rsidR="0069469A">
        <w:rPr>
          <w:rFonts w:eastAsia="Times New Roman" w:cs="Times New Roman"/>
          <w:bCs/>
          <w:color w:val="000000"/>
          <w:lang w:eastAsia="it-IT"/>
        </w:rPr>
        <w:t xml:space="preserve"> non positivi. </w:t>
      </w:r>
      <w:r>
        <w:rPr>
          <w:rFonts w:eastAsia="Times New Roman" w:cs="Times New Roman"/>
          <w:bCs/>
          <w:color w:val="000000"/>
          <w:lang w:eastAsia="it-IT"/>
        </w:rPr>
        <w:t xml:space="preserve">A </w:t>
      </w:r>
      <w:r w:rsidR="004D6B32">
        <w:rPr>
          <w:rFonts w:eastAsia="Times New Roman" w:cs="Times New Roman"/>
          <w:bCs/>
          <w:color w:val="000000"/>
          <w:lang w:eastAsia="it-IT"/>
        </w:rPr>
        <w:t>quest’ultimo proposito, c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ome si può notare dal grafico 2, il Roe </w:t>
      </w:r>
      <w:r w:rsidR="00421492">
        <w:rPr>
          <w:rFonts w:eastAsia="Times New Roman" w:cs="Times New Roman"/>
          <w:bCs/>
          <w:color w:val="000000"/>
          <w:lang w:eastAsia="it-IT"/>
        </w:rPr>
        <w:t xml:space="preserve">per il settore Industria </w:t>
      </w:r>
      <w:r w:rsidR="005C40C8">
        <w:rPr>
          <w:rFonts w:eastAsia="Times New Roman" w:cs="Times New Roman"/>
          <w:bCs/>
          <w:color w:val="000000"/>
          <w:lang w:eastAsia="it-IT"/>
        </w:rPr>
        <w:t>peggiora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5C40C8">
        <w:rPr>
          <w:rFonts w:eastAsia="Times New Roman" w:cs="Times New Roman"/>
          <w:bCs/>
          <w:color w:val="000000"/>
          <w:lang w:eastAsia="it-IT"/>
        </w:rPr>
        <w:t xml:space="preserve">lievemente </w:t>
      </w:r>
      <w:r w:rsidR="00904812">
        <w:rPr>
          <w:rFonts w:eastAsia="Times New Roman" w:cs="Times New Roman"/>
          <w:bCs/>
          <w:color w:val="000000"/>
          <w:lang w:eastAsia="it-IT"/>
        </w:rPr>
        <w:t>rispetto al 201</w:t>
      </w:r>
      <w:r w:rsidR="005C40C8">
        <w:rPr>
          <w:rFonts w:eastAsia="Times New Roman" w:cs="Times New Roman"/>
          <w:bCs/>
          <w:color w:val="000000"/>
          <w:lang w:eastAsia="it-IT"/>
        </w:rPr>
        <w:t>8 passando dal 13,</w:t>
      </w:r>
      <w:r w:rsidR="000B4892">
        <w:rPr>
          <w:rFonts w:eastAsia="Times New Roman" w:cs="Times New Roman"/>
          <w:bCs/>
          <w:color w:val="000000"/>
          <w:lang w:eastAsia="it-IT"/>
        </w:rPr>
        <w:t>7</w:t>
      </w:r>
      <w:r w:rsidR="005C40C8">
        <w:rPr>
          <w:rFonts w:eastAsia="Times New Roman" w:cs="Times New Roman"/>
          <w:bCs/>
          <w:color w:val="000000"/>
          <w:lang w:eastAsia="it-IT"/>
        </w:rPr>
        <w:t>% al 13,5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%, </w:t>
      </w:r>
      <w:r w:rsidR="005C40C8">
        <w:rPr>
          <w:rFonts w:eastAsia="Times New Roman" w:cs="Times New Roman"/>
          <w:bCs/>
          <w:color w:val="000000"/>
          <w:lang w:eastAsia="it-IT"/>
        </w:rPr>
        <w:t>più marcata la diminuzione del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 Roi </w:t>
      </w:r>
      <w:r w:rsidR="005C40C8">
        <w:rPr>
          <w:rFonts w:eastAsia="Times New Roman" w:cs="Times New Roman"/>
          <w:bCs/>
          <w:color w:val="000000"/>
          <w:lang w:eastAsia="it-IT"/>
        </w:rPr>
        <w:t>che passa da 13,8% a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 1</w:t>
      </w:r>
      <w:r w:rsidR="005C40C8">
        <w:rPr>
          <w:rFonts w:eastAsia="Times New Roman" w:cs="Times New Roman"/>
          <w:bCs/>
          <w:color w:val="000000"/>
          <w:lang w:eastAsia="it-IT"/>
        </w:rPr>
        <w:t>2,9</w:t>
      </w:r>
      <w:r w:rsidR="00904812">
        <w:rPr>
          <w:rFonts w:eastAsia="Times New Roman" w:cs="Times New Roman"/>
          <w:bCs/>
          <w:color w:val="000000"/>
          <w:lang w:eastAsia="it-IT"/>
        </w:rPr>
        <w:t>%.</w:t>
      </w:r>
    </w:p>
    <w:p w14:paraId="01AAA736" w14:textId="76E6802B" w:rsidR="00F45DEF" w:rsidRDefault="00F45DEF" w:rsidP="000F18A6">
      <w:pPr>
        <w:spacing w:after="0" w:line="276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br w:type="page"/>
      </w:r>
    </w:p>
    <w:p w14:paraId="00956025" w14:textId="58DF991C" w:rsidR="00904812" w:rsidRPr="00351EE8" w:rsidRDefault="00904812" w:rsidP="000F18A6">
      <w:pPr>
        <w:spacing w:after="0" w:line="276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351EE8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lastRenderedPageBreak/>
        <w:t>Grafico 2</w:t>
      </w:r>
      <w:r w:rsidR="00C528DB"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-</w:t>
      </w:r>
      <w:r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Indici di bilancio</w:t>
      </w:r>
      <w:r w:rsidR="00E33596" w:rsidRPr="00351EE8">
        <w:rPr>
          <w:rFonts w:eastAsia="Times New Roman" w:cs="Times New Roman"/>
          <w:color w:val="000000"/>
          <w:sz w:val="20"/>
          <w:szCs w:val="20"/>
          <w:lang w:eastAsia="it-IT"/>
        </w:rPr>
        <w:t>:</w:t>
      </w:r>
      <w:r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Roe e Roi. Anni 201</w:t>
      </w:r>
      <w:r w:rsidR="00905850">
        <w:rPr>
          <w:rFonts w:eastAsia="Times New Roman" w:cs="Times New Roman"/>
          <w:color w:val="000000"/>
          <w:sz w:val="20"/>
          <w:szCs w:val="20"/>
          <w:lang w:eastAsia="it-IT"/>
        </w:rPr>
        <w:t>8</w:t>
      </w:r>
      <w:r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e 201</w:t>
      </w:r>
      <w:r w:rsidR="00905850">
        <w:rPr>
          <w:rFonts w:eastAsia="Times New Roman" w:cs="Times New Roman"/>
          <w:color w:val="000000"/>
          <w:sz w:val="20"/>
          <w:szCs w:val="20"/>
          <w:lang w:eastAsia="it-IT"/>
        </w:rPr>
        <w:t>9</w:t>
      </w:r>
    </w:p>
    <w:p w14:paraId="156E19A9" w14:textId="2186E5E2" w:rsidR="00905850" w:rsidRDefault="000B4892" w:rsidP="00F45DEF">
      <w:pPr>
        <w:spacing w:after="0" w:line="276" w:lineRule="auto"/>
        <w:rPr>
          <w:rFonts w:eastAsia="Times New Roman" w:cs="Times New Roman"/>
          <w:bCs/>
          <w:color w:val="000000"/>
          <w:lang w:eastAsia="it-IT"/>
        </w:rPr>
      </w:pPr>
      <w:r>
        <w:rPr>
          <w:noProof/>
        </w:rPr>
        <w:drawing>
          <wp:inline distT="0" distB="0" distL="0" distR="0" wp14:anchorId="4F2DC31A" wp14:editId="3859EB5B">
            <wp:extent cx="4104000" cy="2756727"/>
            <wp:effectExtent l="0" t="0" r="0" b="5715"/>
            <wp:docPr id="7" name="Gra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F69BCE" w14:textId="08D26ABC" w:rsidR="00810A13" w:rsidRDefault="004D6B32" w:rsidP="00F45DEF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Per un ulteriore approfondimento del </w:t>
      </w:r>
      <w:r w:rsidR="00401DF7">
        <w:rPr>
          <w:rFonts w:eastAsia="Times New Roman" w:cs="Times New Roman"/>
          <w:bCs/>
          <w:color w:val="000000"/>
          <w:lang w:eastAsia="it-IT"/>
        </w:rPr>
        <w:t>settore</w:t>
      </w:r>
      <w:r>
        <w:rPr>
          <w:rFonts w:eastAsia="Times New Roman" w:cs="Times New Roman"/>
          <w:bCs/>
          <w:color w:val="000000"/>
          <w:lang w:eastAsia="it-IT"/>
        </w:rPr>
        <w:t xml:space="preserve"> industria, si è pensato di inserire in </w:t>
      </w:r>
      <w:r w:rsidR="00904812">
        <w:rPr>
          <w:rFonts w:eastAsia="Times New Roman" w:cs="Times New Roman"/>
          <w:bCs/>
          <w:color w:val="000000"/>
          <w:lang w:eastAsia="it-IT"/>
        </w:rPr>
        <w:t>ap</w:t>
      </w:r>
      <w:r w:rsidR="00B2551A">
        <w:rPr>
          <w:rFonts w:eastAsia="Times New Roman" w:cs="Times New Roman"/>
          <w:bCs/>
          <w:color w:val="000000"/>
          <w:lang w:eastAsia="it-IT"/>
        </w:rPr>
        <w:t>pendice, i valori aggregati 2018 e 2019</w:t>
      </w:r>
      <w:r w:rsidR="00904812">
        <w:rPr>
          <w:rFonts w:eastAsia="Times New Roman" w:cs="Times New Roman"/>
          <w:bCs/>
          <w:color w:val="000000"/>
          <w:lang w:eastAsia="it-IT"/>
        </w:rPr>
        <w:t>, oltre che le variazioni annuali 201</w:t>
      </w:r>
      <w:r w:rsidR="00B2551A">
        <w:rPr>
          <w:rFonts w:eastAsia="Times New Roman" w:cs="Times New Roman"/>
          <w:bCs/>
          <w:color w:val="000000"/>
          <w:lang w:eastAsia="it-IT"/>
        </w:rPr>
        <w:t>9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, dei principali indicatori economico-finanziari per classi dimensionali e macroaree territoriali. </w:t>
      </w:r>
      <w:r w:rsidR="0069469A">
        <w:rPr>
          <w:rFonts w:eastAsia="Times New Roman" w:cs="Times New Roman"/>
          <w:bCs/>
          <w:color w:val="000000"/>
          <w:lang w:eastAsia="it-IT"/>
        </w:rPr>
        <w:t>Anche in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 questo caso, però, i valori sono relativi unicamente alle Srl con patrimonio netto e </w:t>
      </w:r>
      <w:r w:rsidR="00501A8C">
        <w:rPr>
          <w:rFonts w:eastAsia="Times New Roman" w:cs="Times New Roman"/>
          <w:bCs/>
          <w:color w:val="000000"/>
          <w:lang w:eastAsia="it-IT"/>
        </w:rPr>
        <w:t>risultato di esercizio</w:t>
      </w:r>
      <w:r w:rsidR="00904812">
        <w:rPr>
          <w:rFonts w:eastAsia="Times New Roman" w:cs="Times New Roman"/>
          <w:bCs/>
          <w:color w:val="000000"/>
          <w:lang w:eastAsia="it-IT"/>
        </w:rPr>
        <w:t xml:space="preserve"> positivi.</w:t>
      </w:r>
      <w:r>
        <w:rPr>
          <w:rFonts w:eastAsia="Times New Roman" w:cs="Times New Roman"/>
          <w:bCs/>
          <w:color w:val="000000"/>
          <w:lang w:eastAsia="it-IT"/>
        </w:rPr>
        <w:t xml:space="preserve"> Il lettore</w:t>
      </w:r>
      <w:r w:rsidR="0027454A">
        <w:rPr>
          <w:rFonts w:eastAsia="Times New Roman" w:cs="Times New Roman"/>
          <w:bCs/>
          <w:color w:val="000000"/>
          <w:lang w:eastAsia="it-IT"/>
        </w:rPr>
        <w:t>,</w:t>
      </w:r>
      <w:r>
        <w:rPr>
          <w:rFonts w:eastAsia="Times New Roman" w:cs="Times New Roman"/>
          <w:bCs/>
          <w:color w:val="000000"/>
          <w:lang w:eastAsia="it-IT"/>
        </w:rPr>
        <w:t xml:space="preserve"> in questo modo</w:t>
      </w:r>
      <w:r w:rsidR="0027454A">
        <w:rPr>
          <w:rFonts w:eastAsia="Times New Roman" w:cs="Times New Roman"/>
          <w:bCs/>
          <w:color w:val="000000"/>
          <w:lang w:eastAsia="it-IT"/>
        </w:rPr>
        <w:t>,</w:t>
      </w:r>
      <w:r>
        <w:rPr>
          <w:rFonts w:eastAsia="Times New Roman" w:cs="Times New Roman"/>
          <w:bCs/>
          <w:color w:val="000000"/>
          <w:lang w:eastAsia="it-IT"/>
        </w:rPr>
        <w:t xml:space="preserve"> avrà a disposizione una serie di informazioni utili all’analisi del settore in cui ritrovare gli andamenti delle proprie aziende clienti.</w:t>
      </w:r>
    </w:p>
    <w:p w14:paraId="170EDA3C" w14:textId="2BE163A2" w:rsidR="00696157" w:rsidRPr="00E263B0" w:rsidRDefault="00810A13" w:rsidP="00F45DEF">
      <w:pPr>
        <w:pStyle w:val="Titolo1"/>
        <w:spacing w:before="120" w:after="40" w:line="300" w:lineRule="auto"/>
        <w:rPr>
          <w:rFonts w:eastAsia="Times New Roman"/>
          <w:sz w:val="22"/>
          <w:szCs w:val="28"/>
          <w:lang w:eastAsia="it-IT"/>
        </w:rPr>
      </w:pPr>
      <w:bookmarkStart w:id="2" w:name="_Toc25058689"/>
      <w:bookmarkStart w:id="3" w:name="_Toc64210242"/>
      <w:r w:rsidRPr="00E263B0">
        <w:rPr>
          <w:rFonts w:eastAsia="Times New Roman"/>
          <w:sz w:val="22"/>
          <w:szCs w:val="28"/>
          <w:lang w:eastAsia="it-IT"/>
        </w:rPr>
        <w:t xml:space="preserve">Andamento dei </w:t>
      </w:r>
      <w:r w:rsidR="00696157" w:rsidRPr="00E263B0">
        <w:rPr>
          <w:rFonts w:eastAsia="Times New Roman"/>
          <w:sz w:val="22"/>
          <w:szCs w:val="28"/>
          <w:lang w:eastAsia="it-IT"/>
        </w:rPr>
        <w:t>singoli comparti produttivi dell’Industria</w:t>
      </w:r>
      <w:bookmarkEnd w:id="2"/>
      <w:bookmarkEnd w:id="3"/>
    </w:p>
    <w:p w14:paraId="3A1B6707" w14:textId="664B2F64" w:rsidR="00401DF7" w:rsidRPr="0028445D" w:rsidRDefault="00A73E4D" w:rsidP="00F45DEF">
      <w:pPr>
        <w:spacing w:before="4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Il presente focus</w:t>
      </w:r>
      <w:r w:rsidR="00401DF7">
        <w:rPr>
          <w:rFonts w:eastAsia="Times New Roman" w:cs="Times New Roman"/>
          <w:bCs/>
          <w:color w:val="000000"/>
          <w:lang w:eastAsia="it-IT"/>
        </w:rPr>
        <w:t>, oltre ad aggiornare il trend dei principali indicatori del settore Industria, si sofferma sul</w:t>
      </w:r>
      <w:r w:rsidR="0028445D">
        <w:rPr>
          <w:rFonts w:eastAsia="Times New Roman" w:cs="Times New Roman"/>
          <w:bCs/>
          <w:color w:val="000000"/>
          <w:lang w:eastAsia="it-IT"/>
        </w:rPr>
        <w:t xml:space="preserve">l’andamento </w:t>
      </w:r>
      <w:r w:rsidR="00401DF7">
        <w:rPr>
          <w:rFonts w:eastAsia="Times New Roman" w:cs="Times New Roman"/>
          <w:bCs/>
          <w:color w:val="000000"/>
          <w:lang w:eastAsia="it-IT"/>
        </w:rPr>
        <w:t>degli indicatori per i singoli comparti industriali. Dopo un’analisi della struttura produttiva del settore, esposta nella tabella 4, sono riportati i tassi di variazione del 201</w:t>
      </w:r>
      <w:r w:rsidR="001F21A6">
        <w:rPr>
          <w:rFonts w:eastAsia="Times New Roman" w:cs="Times New Roman"/>
          <w:bCs/>
          <w:color w:val="000000"/>
          <w:lang w:eastAsia="it-IT"/>
        </w:rPr>
        <w:t>9</w:t>
      </w:r>
      <w:r w:rsidR="00401DF7">
        <w:rPr>
          <w:rFonts w:eastAsia="Times New Roman" w:cs="Times New Roman"/>
          <w:bCs/>
          <w:color w:val="000000"/>
          <w:lang w:eastAsia="it-IT"/>
        </w:rPr>
        <w:t xml:space="preserve"> rispetto al 201</w:t>
      </w:r>
      <w:r w:rsidR="001F21A6">
        <w:rPr>
          <w:rFonts w:eastAsia="Times New Roman" w:cs="Times New Roman"/>
          <w:bCs/>
          <w:color w:val="000000"/>
          <w:lang w:eastAsia="it-IT"/>
        </w:rPr>
        <w:t>8</w:t>
      </w:r>
      <w:r w:rsidR="00401DF7">
        <w:rPr>
          <w:rFonts w:eastAsia="Times New Roman" w:cs="Times New Roman"/>
          <w:bCs/>
          <w:color w:val="000000"/>
          <w:lang w:eastAsia="it-IT"/>
        </w:rPr>
        <w:t xml:space="preserve"> con riferimento agli addetti (tabella 5), ai ricavi (tabella 6), al valore della produzione (tabella 7) e al valore aggiunto (tabella 8) per i 21 comparti produttivi del settore industria. In tal modo, il focus vuole fornire un set informativo specifico utile nelle analisi di </w:t>
      </w:r>
      <w:r w:rsidR="00401DF7" w:rsidRPr="00421492">
        <w:rPr>
          <w:rFonts w:eastAsia="Times New Roman" w:cs="Times New Roman"/>
          <w:bCs/>
          <w:i/>
          <w:color w:val="000000"/>
          <w:lang w:eastAsia="it-IT"/>
        </w:rPr>
        <w:t>benchmarking</w:t>
      </w:r>
      <w:r w:rsidR="00401DF7">
        <w:rPr>
          <w:rFonts w:eastAsia="Times New Roman" w:cs="Times New Roman"/>
          <w:bCs/>
          <w:color w:val="000000"/>
          <w:lang w:eastAsia="it-IT"/>
        </w:rPr>
        <w:t xml:space="preserve"> di settore.</w:t>
      </w:r>
    </w:p>
    <w:p w14:paraId="31292A49" w14:textId="34FA6421" w:rsidR="00BE30D8" w:rsidRDefault="00696157" w:rsidP="00F45DEF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color w:val="000000"/>
          <w:lang w:eastAsia="it-IT"/>
        </w:rPr>
        <w:t>D</w:t>
      </w:r>
      <w:r w:rsidR="004D6B32" w:rsidRPr="00C528DB">
        <w:rPr>
          <w:rFonts w:eastAsia="Times New Roman" w:cs="Times New Roman"/>
          <w:color w:val="000000"/>
          <w:lang w:eastAsia="it-IT"/>
        </w:rPr>
        <w:t>al grafico 3, è ev</w:t>
      </w:r>
      <w:r w:rsidR="004D6B32">
        <w:rPr>
          <w:rFonts w:eastAsia="Times New Roman" w:cs="Times New Roman"/>
          <w:color w:val="000000"/>
          <w:lang w:eastAsia="it-IT"/>
        </w:rPr>
        <w:t>i</w:t>
      </w:r>
      <w:r w:rsidR="004D6B32" w:rsidRPr="00C528DB">
        <w:rPr>
          <w:rFonts w:eastAsia="Times New Roman" w:cs="Times New Roman"/>
          <w:color w:val="000000"/>
          <w:lang w:eastAsia="it-IT"/>
        </w:rPr>
        <w:t xml:space="preserve">dente che </w:t>
      </w:r>
      <w:r>
        <w:rPr>
          <w:rFonts w:eastAsia="Times New Roman" w:cs="Times New Roman"/>
          <w:bCs/>
          <w:color w:val="000000"/>
          <w:lang w:eastAsia="it-IT"/>
        </w:rPr>
        <w:t>l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a crescita più elevata </w:t>
      </w:r>
      <w:r w:rsidR="00810A13" w:rsidRPr="00FA0ABD">
        <w:rPr>
          <w:rFonts w:eastAsia="Times New Roman" w:cs="Times New Roman"/>
          <w:bCs/>
          <w:color w:val="000000"/>
          <w:lang w:eastAsia="it-IT"/>
        </w:rPr>
        <w:t>del fatturato,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 si è </w:t>
      </w:r>
      <w:r w:rsidR="0028445D">
        <w:rPr>
          <w:rFonts w:eastAsia="Times New Roman" w:cs="Times New Roman"/>
          <w:bCs/>
          <w:color w:val="000000"/>
          <w:lang w:eastAsia="it-IT"/>
        </w:rPr>
        <w:t xml:space="preserve">registrata 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nel comparto della fabbricazione di </w:t>
      </w:r>
      <w:r w:rsidR="00A73E4D">
        <w:rPr>
          <w:rFonts w:eastAsia="Times New Roman" w:cs="Times New Roman"/>
          <w:bCs/>
          <w:color w:val="000000"/>
          <w:lang w:eastAsia="it-IT"/>
        </w:rPr>
        <w:t>mezzi di trasporto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 (+</w:t>
      </w:r>
      <w:r w:rsidR="00A73E4D">
        <w:rPr>
          <w:rFonts w:eastAsia="Times New Roman" w:cs="Times New Roman"/>
          <w:bCs/>
          <w:color w:val="000000"/>
          <w:lang w:eastAsia="it-IT"/>
        </w:rPr>
        <w:t>17,4</w:t>
      </w:r>
      <w:r w:rsidR="00810A13">
        <w:rPr>
          <w:rFonts w:eastAsia="Times New Roman" w:cs="Times New Roman"/>
          <w:bCs/>
          <w:color w:val="000000"/>
          <w:lang w:eastAsia="it-IT"/>
        </w:rPr>
        <w:t>%)</w:t>
      </w:r>
      <w:r w:rsidR="004D6B32">
        <w:rPr>
          <w:rFonts w:eastAsia="Times New Roman" w:cs="Times New Roman"/>
          <w:bCs/>
          <w:color w:val="000000"/>
          <w:lang w:eastAsia="it-IT"/>
        </w:rPr>
        <w:t>;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 un settore questo che rappresenta </w:t>
      </w:r>
      <w:r w:rsidR="00A73E4D">
        <w:rPr>
          <w:rFonts w:eastAsia="Times New Roman" w:cs="Times New Roman"/>
          <w:bCs/>
          <w:color w:val="000000"/>
          <w:lang w:eastAsia="it-IT"/>
        </w:rPr>
        <w:t>l’1,3%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 delle Srl, l</w:t>
      </w:r>
      <w:r w:rsidR="00A73E4D">
        <w:rPr>
          <w:rFonts w:eastAsia="Times New Roman" w:cs="Times New Roman"/>
          <w:bCs/>
          <w:color w:val="000000"/>
          <w:lang w:eastAsia="it-IT"/>
        </w:rPr>
        <w:t>’1,5</w:t>
      </w:r>
      <w:r w:rsidR="00810A13">
        <w:rPr>
          <w:rFonts w:eastAsia="Times New Roman" w:cs="Times New Roman"/>
          <w:bCs/>
          <w:color w:val="000000"/>
          <w:lang w:eastAsia="it-IT"/>
        </w:rPr>
        <w:t>%</w:t>
      </w:r>
      <w:r w:rsidR="001F21A6">
        <w:rPr>
          <w:rFonts w:eastAsia="Times New Roman" w:cs="Times New Roman"/>
          <w:bCs/>
          <w:color w:val="000000"/>
          <w:lang w:eastAsia="it-IT"/>
        </w:rPr>
        <w:t xml:space="preserve"> degli addetti e </w:t>
      </w:r>
      <w:r w:rsidR="00A73E4D">
        <w:rPr>
          <w:rFonts w:eastAsia="Times New Roman" w:cs="Times New Roman"/>
          <w:bCs/>
          <w:color w:val="000000"/>
          <w:lang w:eastAsia="it-IT"/>
        </w:rPr>
        <w:t>l’1,6</w:t>
      </w:r>
      <w:r w:rsidR="00810A13">
        <w:rPr>
          <w:rFonts w:eastAsia="Times New Roman" w:cs="Times New Roman"/>
          <w:bCs/>
          <w:color w:val="000000"/>
          <w:lang w:eastAsia="it-IT"/>
        </w:rPr>
        <w:t xml:space="preserve">% dei ricavi. </w:t>
      </w:r>
      <w:r w:rsidR="00810A13" w:rsidRPr="007E3CDE">
        <w:rPr>
          <w:rFonts w:eastAsia="Times New Roman" w:cs="Times New Roman"/>
          <w:bCs/>
          <w:color w:val="000000"/>
          <w:lang w:eastAsia="it-IT"/>
        </w:rPr>
        <w:t xml:space="preserve">Tra i comparti più </w:t>
      </w:r>
      <w:r w:rsidR="00A73E4D">
        <w:rPr>
          <w:rFonts w:eastAsia="Times New Roman" w:cs="Times New Roman"/>
          <w:bCs/>
          <w:color w:val="000000"/>
          <w:lang w:eastAsia="it-IT"/>
        </w:rPr>
        <w:t xml:space="preserve">dinamici si segnalano le Altre industrie manifatturiere (+6,6%), la Fabbricazione di articoli in pelle e simili (+6,3%), la Fabbricazione di apparecchiature elettroniche (+6,2%), seguite da Abbigliamento (+4,5%). 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In negativo, invece, il </w:t>
      </w:r>
      <w:r w:rsidR="0027454A">
        <w:rPr>
          <w:rFonts w:eastAsia="Times New Roman" w:cs="Times New Roman"/>
          <w:bCs/>
          <w:color w:val="000000"/>
          <w:lang w:eastAsia="it-IT"/>
        </w:rPr>
        <w:t>comparto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 della lavorazione dei prodotti in metall</w:t>
      </w:r>
      <w:r w:rsidR="0027454A">
        <w:rPr>
          <w:rFonts w:eastAsia="Times New Roman" w:cs="Times New Roman"/>
          <w:bCs/>
          <w:color w:val="000000"/>
          <w:lang w:eastAsia="it-IT"/>
        </w:rPr>
        <w:t>o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 (-0,1%) che rappresenta in assoluto il</w:t>
      </w:r>
      <w:r w:rsidR="0027454A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più rilevante nell’ambito delle Srl dell’industria. Gli altri </w:t>
      </w:r>
      <w:r w:rsidR="0027454A">
        <w:rPr>
          <w:rFonts w:eastAsia="Times New Roman" w:cs="Times New Roman"/>
          <w:bCs/>
          <w:color w:val="000000"/>
          <w:lang w:eastAsia="it-IT"/>
        </w:rPr>
        <w:t>comparti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 che presentano un calo del fatturato sono Metallurgia (-3,9%), Coke e raffinati (-3,7%), Autoveicoli (-3,6%), Farmaceutica (-2,8%) e industrie tessili (-2,8%). </w:t>
      </w:r>
    </w:p>
    <w:p w14:paraId="03C3E164" w14:textId="1347FAD4" w:rsidR="000875D9" w:rsidRDefault="000875D9" w:rsidP="00F45DEF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br w:type="page"/>
      </w:r>
    </w:p>
    <w:p w14:paraId="5F12B387" w14:textId="288DD099" w:rsidR="0045632A" w:rsidRDefault="00421492" w:rsidP="00F45DEF">
      <w:pPr>
        <w:spacing w:after="120" w:line="276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351EE8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lastRenderedPageBreak/>
        <w:t>Grafico 3</w:t>
      </w:r>
      <w:r w:rsidR="00C528DB"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- </w:t>
      </w:r>
      <w:r w:rsidR="00501A8C"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Variazione </w:t>
      </w:r>
      <w:r w:rsidR="0045632A" w:rsidRPr="00351EE8">
        <w:rPr>
          <w:rFonts w:eastAsia="Times New Roman" w:cs="Times New Roman"/>
          <w:color w:val="000000"/>
          <w:sz w:val="20"/>
          <w:szCs w:val="20"/>
          <w:lang w:eastAsia="it-IT"/>
        </w:rPr>
        <w:t>del fatturato per singoli comparti industriali. Tasso di variazione annuale. Anno 201</w:t>
      </w:r>
      <w:r w:rsidR="00993A95">
        <w:rPr>
          <w:rFonts w:eastAsia="Times New Roman" w:cs="Times New Roman"/>
          <w:color w:val="000000"/>
          <w:sz w:val="20"/>
          <w:szCs w:val="20"/>
          <w:lang w:eastAsia="it-IT"/>
        </w:rPr>
        <w:t>9</w:t>
      </w:r>
    </w:p>
    <w:p w14:paraId="6B7E1D61" w14:textId="73B3024E" w:rsidR="0045632A" w:rsidRDefault="00A73E4D" w:rsidP="00F45DEF">
      <w:pPr>
        <w:spacing w:after="0" w:line="240" w:lineRule="auto"/>
        <w:rPr>
          <w:rFonts w:eastAsia="Times New Roman" w:cs="Times New Roman"/>
          <w:bCs/>
          <w:color w:val="000000"/>
          <w:lang w:eastAsia="it-IT"/>
        </w:rPr>
      </w:pPr>
      <w:r>
        <w:rPr>
          <w:noProof/>
        </w:rPr>
        <w:drawing>
          <wp:inline distT="0" distB="0" distL="0" distR="0" wp14:anchorId="356C7242" wp14:editId="746103D6">
            <wp:extent cx="4654550" cy="4218940"/>
            <wp:effectExtent l="0" t="0" r="0" b="0"/>
            <wp:docPr id="11" name="Gra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039FC2F" w14:textId="77777777" w:rsidR="0045632A" w:rsidRPr="00A04395" w:rsidRDefault="0045632A" w:rsidP="0045632A">
      <w:pPr>
        <w:spacing w:after="0" w:line="240" w:lineRule="auto"/>
        <w:jc w:val="both"/>
        <w:rPr>
          <w:rFonts w:eastAsia="Times New Roman" w:cs="Times New Roman"/>
          <w:b/>
          <w:color w:val="000000"/>
          <w:sz w:val="18"/>
          <w:szCs w:val="20"/>
          <w:lang w:eastAsia="it-IT"/>
        </w:rPr>
      </w:pPr>
    </w:p>
    <w:p w14:paraId="5FB6C29A" w14:textId="0329A045" w:rsidR="00401DF7" w:rsidRDefault="00401DF7" w:rsidP="00F45DEF">
      <w:pPr>
        <w:spacing w:after="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 w:rsidRPr="00234C28">
        <w:rPr>
          <w:rFonts w:eastAsia="Times New Roman" w:cs="Times New Roman"/>
          <w:bCs/>
          <w:color w:val="000000"/>
          <w:lang w:eastAsia="it-IT"/>
        </w:rPr>
        <w:t xml:space="preserve">Infine, per fornire un’informazione di maggiore dettaglio, il focus riporta </w:t>
      </w:r>
      <w:r w:rsidR="0034415C">
        <w:rPr>
          <w:rFonts w:eastAsia="Times New Roman" w:cs="Times New Roman"/>
          <w:bCs/>
          <w:color w:val="000000"/>
          <w:lang w:eastAsia="it-IT"/>
        </w:rPr>
        <w:t>i principali</w:t>
      </w:r>
      <w:r w:rsidRPr="00234C28">
        <w:rPr>
          <w:rFonts w:eastAsia="Times New Roman" w:cs="Times New Roman"/>
          <w:bCs/>
          <w:color w:val="000000"/>
          <w:lang w:eastAsia="it-IT"/>
        </w:rPr>
        <w:t xml:space="preserve"> indici di bilancio </w:t>
      </w:r>
      <w:r w:rsidR="0034415C">
        <w:rPr>
          <w:rFonts w:eastAsia="Times New Roman" w:cs="Times New Roman"/>
          <w:bCs/>
          <w:color w:val="000000"/>
          <w:lang w:eastAsia="it-IT"/>
        </w:rPr>
        <w:t xml:space="preserve">economico-finanziari (tabella 9) e di redditività (tabella 10) </w:t>
      </w:r>
      <w:r w:rsidRPr="00234C28">
        <w:rPr>
          <w:rFonts w:eastAsia="Times New Roman" w:cs="Times New Roman"/>
          <w:bCs/>
          <w:color w:val="000000"/>
          <w:lang w:eastAsia="it-IT"/>
        </w:rPr>
        <w:t>per i singoli comparti produttivi del settore Industria.</w:t>
      </w:r>
    </w:p>
    <w:p w14:paraId="6BA887A1" w14:textId="351F9021" w:rsidR="00696157" w:rsidRPr="00E263B0" w:rsidRDefault="00C86811" w:rsidP="00F45DEF">
      <w:pPr>
        <w:pStyle w:val="Titolo1"/>
        <w:spacing w:before="120" w:after="40" w:line="300" w:lineRule="auto"/>
        <w:rPr>
          <w:rFonts w:eastAsia="Times New Roman"/>
          <w:sz w:val="22"/>
          <w:szCs w:val="28"/>
          <w:lang w:eastAsia="it-IT"/>
        </w:rPr>
      </w:pPr>
      <w:bookmarkStart w:id="4" w:name="_Toc25058690"/>
      <w:bookmarkStart w:id="5" w:name="_Toc64210243"/>
      <w:r w:rsidRPr="00E263B0">
        <w:rPr>
          <w:rFonts w:eastAsia="Times New Roman"/>
          <w:sz w:val="22"/>
          <w:szCs w:val="28"/>
          <w:lang w:eastAsia="it-IT"/>
        </w:rPr>
        <w:t>Andamento per macroaree territoriali</w:t>
      </w:r>
      <w:bookmarkEnd w:id="4"/>
      <w:bookmarkEnd w:id="5"/>
    </w:p>
    <w:p w14:paraId="5E87BB5D" w14:textId="7CE21E27" w:rsidR="00C86811" w:rsidRDefault="00C86811" w:rsidP="00F45DEF">
      <w:pPr>
        <w:spacing w:after="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 w:rsidRPr="007E3CDE">
        <w:rPr>
          <w:rFonts w:eastAsia="Times New Roman" w:cs="Times New Roman"/>
          <w:bCs/>
          <w:color w:val="000000"/>
          <w:lang w:eastAsia="it-IT"/>
        </w:rPr>
        <w:t xml:space="preserve">Limitando l’osservazione all’andamento del fatturato e del valore aggiunto, </w:t>
      </w:r>
      <w:r w:rsidR="00421492" w:rsidRPr="007E3CDE">
        <w:rPr>
          <w:rFonts w:eastAsia="Times New Roman" w:cs="Times New Roman"/>
          <w:bCs/>
          <w:color w:val="000000"/>
          <w:lang w:eastAsia="it-IT"/>
        </w:rPr>
        <w:t>come mostrato nel grafico 4</w:t>
      </w:r>
      <w:r w:rsidRPr="007E3CDE">
        <w:rPr>
          <w:rFonts w:eastAsia="Times New Roman" w:cs="Times New Roman"/>
          <w:bCs/>
          <w:color w:val="000000"/>
          <w:lang w:eastAsia="it-IT"/>
        </w:rPr>
        <w:t>,</w:t>
      </w:r>
      <w:r w:rsidR="007E3CDE" w:rsidRPr="007E3CDE"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BA12EF">
        <w:rPr>
          <w:rFonts w:eastAsia="Times New Roman" w:cs="Times New Roman"/>
          <w:bCs/>
          <w:color w:val="000000"/>
          <w:lang w:eastAsia="it-IT"/>
        </w:rPr>
        <w:t>le Srl del Sud presentano tassi di crescita più elevati. In particolare, il fatturato al Sud nel 2019 è aumentato del 6%, mentre il valore aggiunto è cresciuto del 10,3%. Per contro, il Nord-ovest è l’area che fa registrare i tassi di crescita più bassi</w:t>
      </w:r>
      <w:r w:rsidR="00DA6412">
        <w:rPr>
          <w:rFonts w:eastAsia="Times New Roman" w:cs="Times New Roman"/>
          <w:bCs/>
          <w:color w:val="000000"/>
          <w:lang w:eastAsia="it-IT"/>
        </w:rPr>
        <w:t xml:space="preserve"> (+1,3% i ricavi e +3,5% il valore aggiunto)</w:t>
      </w:r>
      <w:r w:rsidRPr="007E3CDE">
        <w:rPr>
          <w:rFonts w:eastAsia="Times New Roman" w:cs="Times New Roman"/>
          <w:bCs/>
          <w:color w:val="000000"/>
          <w:lang w:eastAsia="it-IT"/>
        </w:rPr>
        <w:t>.</w:t>
      </w:r>
      <w:r w:rsidR="00DA6412">
        <w:rPr>
          <w:rFonts w:eastAsia="Times New Roman" w:cs="Times New Roman"/>
          <w:bCs/>
          <w:color w:val="000000"/>
          <w:lang w:eastAsia="it-IT"/>
        </w:rPr>
        <w:t xml:space="preserve"> Dopo il Sud, l’area in cui il fatturato e il valore aggiunto crescono di più è il Centro (rispettivamente +4,2% e +5,1%), mentre il Nord-est presenta tassi di crescita più bassi (+2,6% per i ricavi e +3,6% per il valore aggiunto).</w:t>
      </w:r>
    </w:p>
    <w:p w14:paraId="6164D7A3" w14:textId="77777777" w:rsidR="00C86811" w:rsidRDefault="00C86811" w:rsidP="00F45DEF">
      <w:pPr>
        <w:spacing w:after="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</w:p>
    <w:p w14:paraId="3F49D074" w14:textId="77777777" w:rsidR="00421492" w:rsidRDefault="00421492">
      <w:pPr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br w:type="page"/>
      </w:r>
    </w:p>
    <w:p w14:paraId="1723CA4B" w14:textId="1F8205E4" w:rsidR="00421492" w:rsidRPr="00351EE8" w:rsidRDefault="00421492" w:rsidP="00694349">
      <w:pPr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it-IT"/>
        </w:rPr>
      </w:pPr>
      <w:r w:rsidRPr="00351EE8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lastRenderedPageBreak/>
        <w:t>Grafico 4</w:t>
      </w:r>
      <w:r w:rsidR="00C528DB" w:rsidRPr="00351EE8">
        <w:rPr>
          <w:rFonts w:eastAsia="Times New Roman" w:cs="Times New Roman"/>
          <w:i/>
          <w:iCs/>
          <w:color w:val="000000"/>
          <w:sz w:val="20"/>
          <w:szCs w:val="20"/>
          <w:lang w:eastAsia="it-IT"/>
        </w:rPr>
        <w:t xml:space="preserve"> -</w:t>
      </w:r>
      <w:r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 </w:t>
      </w:r>
      <w:r w:rsidR="00501A8C"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Variazione </w:t>
      </w:r>
      <w:r w:rsidRPr="00351EE8">
        <w:rPr>
          <w:rFonts w:eastAsia="Times New Roman" w:cs="Times New Roman"/>
          <w:color w:val="000000"/>
          <w:sz w:val="20"/>
          <w:szCs w:val="20"/>
          <w:lang w:eastAsia="it-IT"/>
        </w:rPr>
        <w:t xml:space="preserve">del fatturato e del valore aggiunto per macroaree territoriali. Tasso </w:t>
      </w:r>
      <w:r w:rsidR="00E93288">
        <w:rPr>
          <w:rFonts w:eastAsia="Times New Roman" w:cs="Times New Roman"/>
          <w:color w:val="000000"/>
          <w:sz w:val="20"/>
          <w:szCs w:val="20"/>
          <w:lang w:eastAsia="it-IT"/>
        </w:rPr>
        <w:t>di variazione annuale. Anno 2019</w:t>
      </w:r>
    </w:p>
    <w:p w14:paraId="465D7E29" w14:textId="0772114B" w:rsidR="00C86811" w:rsidRDefault="00BA12EF" w:rsidP="00F45DEF">
      <w:pPr>
        <w:spacing w:after="0" w:line="276" w:lineRule="auto"/>
        <w:rPr>
          <w:rFonts w:eastAsia="Times New Roman" w:cs="Times New Roman"/>
          <w:bCs/>
          <w:color w:val="000000"/>
          <w:lang w:eastAsia="it-IT"/>
        </w:rPr>
      </w:pPr>
      <w:r>
        <w:rPr>
          <w:noProof/>
        </w:rPr>
        <w:drawing>
          <wp:inline distT="0" distB="0" distL="0" distR="0" wp14:anchorId="3E0E19D3" wp14:editId="443FA965">
            <wp:extent cx="4320000" cy="2710800"/>
            <wp:effectExtent l="0" t="0" r="4445" b="0"/>
            <wp:docPr id="13" name="Grafico 13">
              <a:extLst xmlns:a="http://schemas.openxmlformats.org/drawingml/2006/main">
                <a:ext uri="{FF2B5EF4-FFF2-40B4-BE49-F238E27FC236}">
                  <a16:creationId xmlns:a16="http://schemas.microsoft.com/office/drawing/2014/main" id="{FE02E066-8367-44FE-B76C-F8DAC54AD7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F32155" w14:textId="7EADDE27" w:rsidR="00F45DEF" w:rsidRDefault="00421492" w:rsidP="00F45DEF">
      <w:pPr>
        <w:spacing w:before="120" w:after="0" w:line="276" w:lineRule="auto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Per tutte le tabelle di seguito esposte, la fonte è “Elaborazioni FN</w:t>
      </w:r>
      <w:r w:rsidR="00EA40E6">
        <w:rPr>
          <w:rFonts w:eastAsia="Times New Roman" w:cs="Times New Roman"/>
          <w:bCs/>
          <w:color w:val="000000"/>
          <w:lang w:eastAsia="it-IT"/>
        </w:rPr>
        <w:t>C su dati AIDA-BvD estratti il 7</w:t>
      </w:r>
      <w:r>
        <w:rPr>
          <w:rFonts w:eastAsia="Times New Roman" w:cs="Times New Roman"/>
          <w:bCs/>
          <w:color w:val="000000"/>
          <w:lang w:eastAsia="it-IT"/>
        </w:rPr>
        <w:t xml:space="preserve"> </w:t>
      </w:r>
      <w:r w:rsidR="00EA40E6">
        <w:rPr>
          <w:rFonts w:eastAsia="Times New Roman" w:cs="Times New Roman"/>
          <w:bCs/>
          <w:color w:val="000000"/>
          <w:lang w:eastAsia="it-IT"/>
        </w:rPr>
        <w:t>gennaio</w:t>
      </w:r>
      <w:r>
        <w:rPr>
          <w:rFonts w:eastAsia="Times New Roman" w:cs="Times New Roman"/>
          <w:bCs/>
          <w:color w:val="000000"/>
          <w:lang w:eastAsia="it-IT"/>
        </w:rPr>
        <w:t xml:space="preserve"> 20</w:t>
      </w:r>
      <w:r w:rsidR="00EA40E6">
        <w:rPr>
          <w:rFonts w:eastAsia="Times New Roman" w:cs="Times New Roman"/>
          <w:bCs/>
          <w:color w:val="000000"/>
          <w:lang w:eastAsia="it-IT"/>
        </w:rPr>
        <w:t>21</w:t>
      </w:r>
      <w:r>
        <w:rPr>
          <w:rFonts w:eastAsia="Times New Roman" w:cs="Times New Roman"/>
          <w:bCs/>
          <w:color w:val="000000"/>
          <w:lang w:eastAsia="it-IT"/>
        </w:rPr>
        <w:t>”. Per garantire una migliore leggibilità dei dati, nelle tabelle relative al calcolo del trend dei principali indicatori per singoli comparti industriali, le micro</w:t>
      </w:r>
      <w:r w:rsidR="0027454A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imprese (fatturato fino a 350 mila euro) e le piccole imprese (fatturato tra 350 mila e 2 milioni di euro) sono state accorpate.</w:t>
      </w:r>
      <w:r w:rsidR="00F45DEF">
        <w:rPr>
          <w:rFonts w:eastAsia="Times New Roman" w:cs="Times New Roman"/>
          <w:bCs/>
          <w:color w:val="000000"/>
          <w:lang w:eastAsia="it-IT"/>
        </w:rPr>
        <w:br w:type="page"/>
      </w:r>
    </w:p>
    <w:p w14:paraId="6708B0A9" w14:textId="5409EE24" w:rsidR="00696157" w:rsidRDefault="00696157" w:rsidP="00C528DB">
      <w:pPr>
        <w:pStyle w:val="Titolo1"/>
      </w:pPr>
      <w:bookmarkStart w:id="6" w:name="_Toc25058691"/>
      <w:bookmarkStart w:id="7" w:name="_Toc64210244"/>
      <w:r>
        <w:lastRenderedPageBreak/>
        <w:t>Tabelle</w:t>
      </w:r>
      <w:bookmarkEnd w:id="6"/>
      <w:r w:rsidR="00E85205">
        <w:rPr>
          <w:rStyle w:val="Rimandonotaapidipagina"/>
        </w:rPr>
        <w:footnoteReference w:id="2"/>
      </w:r>
      <w:bookmarkEnd w:id="7"/>
    </w:p>
    <w:p w14:paraId="5608D0A7" w14:textId="398FE9D6" w:rsidR="008B1B1E" w:rsidRPr="00896A4B" w:rsidRDefault="00BA66B6" w:rsidP="00896A4B">
      <w:pPr>
        <w:pStyle w:val="Titolo2"/>
      </w:pPr>
      <w:bookmarkStart w:id="8" w:name="_Toc25058692"/>
      <w:bookmarkStart w:id="9" w:name="_Toc64210245"/>
      <w:r w:rsidRPr="00896A4B">
        <w:rPr>
          <w:i/>
          <w:iCs/>
        </w:rPr>
        <w:t>Tabella 1</w:t>
      </w:r>
      <w:r w:rsidR="009646C4" w:rsidRPr="00896A4B">
        <w:t xml:space="preserve"> </w:t>
      </w:r>
      <w:r w:rsidR="00C528DB" w:rsidRPr="00896A4B">
        <w:t>-</w:t>
      </w:r>
      <w:r w:rsidR="009646C4" w:rsidRPr="00896A4B">
        <w:t xml:space="preserve"> </w:t>
      </w:r>
      <w:r w:rsidR="00504BAC" w:rsidRPr="00896A4B">
        <w:t>S</w:t>
      </w:r>
      <w:r w:rsidR="00D17EB8" w:rsidRPr="00896A4B">
        <w:t>rl</w:t>
      </w:r>
      <w:r w:rsidR="00504BAC" w:rsidRPr="00896A4B">
        <w:t xml:space="preserve"> totali e industria </w:t>
      </w:r>
      <w:r w:rsidR="002824D9" w:rsidRPr="00896A4B">
        <w:t>per le quali è disponibile il bilancio negli anni indicati</w:t>
      </w:r>
      <w:bookmarkEnd w:id="8"/>
      <w:bookmarkEnd w:id="9"/>
    </w:p>
    <w:tbl>
      <w:tblPr>
        <w:tblStyle w:val="Tabellaelenco3-colore11"/>
        <w:tblW w:w="9072" w:type="dxa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04"/>
        <w:gridCol w:w="1304"/>
        <w:gridCol w:w="1304"/>
        <w:gridCol w:w="1304"/>
        <w:gridCol w:w="1304"/>
      </w:tblGrid>
      <w:tr w:rsidR="000C480A" w:rsidRPr="00507B56" w14:paraId="030CC9E4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0E355E4A" w14:textId="0C245846" w:rsidR="00BA66B6" w:rsidRPr="00507B56" w:rsidRDefault="00BA66B6" w:rsidP="00BA66B6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SOCIET</w:t>
            </w:r>
            <w:r w:rsidR="000C480A" w:rsidRPr="00507B56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à</w:t>
            </w: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E BILANCI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306EF89A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0-350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2C43FCDF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350-2.000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4748B115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4ABE43B3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&gt; 10.000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00381867" w14:textId="408A95EF" w:rsidR="00BA66B6" w:rsidRPr="00507B56" w:rsidRDefault="000C480A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TOTALE</w:t>
            </w:r>
          </w:p>
        </w:tc>
      </w:tr>
      <w:tr w:rsidR="00584358" w:rsidRPr="00BA66B6" w14:paraId="7561DA0F" w14:textId="77777777" w:rsidTr="00F45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CA9D239" w14:textId="234A9B92" w:rsidR="00584358" w:rsidRPr="00507B56" w:rsidRDefault="00584358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 xml:space="preserve">SRL TOTALI BIL </w:t>
            </w:r>
            <w:r w:rsidR="00D53669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F2A4DF" w14:textId="04BB4C84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426.425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CABC03D" w14:textId="7A3FA9AA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216.776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3FAAF63" w14:textId="40021F34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79.862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32750E4" w14:textId="72F8A059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16.620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571232" w14:textId="0E0BCBB2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739.683</w:t>
            </w:r>
          </w:p>
        </w:tc>
      </w:tr>
      <w:tr w:rsidR="00584358" w:rsidRPr="00BA66B6" w14:paraId="44B86CA4" w14:textId="77777777" w:rsidTr="00F45D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noWrap/>
            <w:hideMark/>
          </w:tcPr>
          <w:p w14:paraId="45F75FBE" w14:textId="3A7F9B52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INDUSTRIA BIL 2019</w:t>
            </w:r>
          </w:p>
        </w:tc>
        <w:tc>
          <w:tcPr>
            <w:tcW w:w="1304" w:type="dxa"/>
            <w:noWrap/>
            <w:vAlign w:val="center"/>
            <w:hideMark/>
          </w:tcPr>
          <w:p w14:paraId="3E20E440" w14:textId="01571E8A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29.094</w:t>
            </w:r>
          </w:p>
        </w:tc>
        <w:tc>
          <w:tcPr>
            <w:tcW w:w="1304" w:type="dxa"/>
            <w:noWrap/>
            <w:vAlign w:val="center"/>
            <w:hideMark/>
          </w:tcPr>
          <w:p w14:paraId="0EE13821" w14:textId="2B033FAD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40.843</w:t>
            </w:r>
          </w:p>
        </w:tc>
        <w:tc>
          <w:tcPr>
            <w:tcW w:w="1304" w:type="dxa"/>
            <w:noWrap/>
            <w:vAlign w:val="center"/>
            <w:hideMark/>
          </w:tcPr>
          <w:p w14:paraId="71330B66" w14:textId="61371A25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24.644</w:t>
            </w:r>
          </w:p>
        </w:tc>
        <w:tc>
          <w:tcPr>
            <w:tcW w:w="1304" w:type="dxa"/>
            <w:noWrap/>
            <w:vAlign w:val="center"/>
            <w:hideMark/>
          </w:tcPr>
          <w:p w14:paraId="4E4937D9" w14:textId="15EEA32C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5.951</w:t>
            </w:r>
          </w:p>
        </w:tc>
        <w:tc>
          <w:tcPr>
            <w:tcW w:w="1304" w:type="dxa"/>
            <w:noWrap/>
            <w:vAlign w:val="center"/>
            <w:hideMark/>
          </w:tcPr>
          <w:p w14:paraId="69F059F8" w14:textId="55C34ED3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100.532</w:t>
            </w:r>
          </w:p>
        </w:tc>
      </w:tr>
      <w:tr w:rsidR="00584358" w:rsidRPr="00BA66B6" w14:paraId="3C1BE0CA" w14:textId="77777777" w:rsidTr="00F45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22C987B" w14:textId="7E7E1E08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TOTALI BIL 2018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3E29CC6" w14:textId="50EDDC70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475.172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7A51599" w14:textId="2899BAA0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237.309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33A54DE" w14:textId="121D9B19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83.413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FD68AA9" w14:textId="1BB810FC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17.169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925035" w14:textId="1338EDA5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813.063</w:t>
            </w:r>
          </w:p>
        </w:tc>
      </w:tr>
      <w:tr w:rsidR="00584358" w:rsidRPr="00BA66B6" w14:paraId="7BC34E91" w14:textId="77777777" w:rsidTr="00F45D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noWrap/>
            <w:hideMark/>
          </w:tcPr>
          <w:p w14:paraId="148B6F91" w14:textId="7B8FD211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INDUSTRIA BIL 2018</w:t>
            </w:r>
          </w:p>
        </w:tc>
        <w:tc>
          <w:tcPr>
            <w:tcW w:w="1304" w:type="dxa"/>
            <w:noWrap/>
            <w:vAlign w:val="center"/>
            <w:hideMark/>
          </w:tcPr>
          <w:p w14:paraId="4443BA68" w14:textId="79B0AFF8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32.189</w:t>
            </w:r>
          </w:p>
        </w:tc>
        <w:tc>
          <w:tcPr>
            <w:tcW w:w="1304" w:type="dxa"/>
            <w:noWrap/>
            <w:vAlign w:val="center"/>
            <w:hideMark/>
          </w:tcPr>
          <w:p w14:paraId="7553127A" w14:textId="7A0CFA4A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43.332</w:t>
            </w:r>
          </w:p>
        </w:tc>
        <w:tc>
          <w:tcPr>
            <w:tcW w:w="1304" w:type="dxa"/>
            <w:noWrap/>
            <w:vAlign w:val="center"/>
            <w:hideMark/>
          </w:tcPr>
          <w:p w14:paraId="0EF8C557" w14:textId="71620C2D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25.254</w:t>
            </w:r>
          </w:p>
        </w:tc>
        <w:tc>
          <w:tcPr>
            <w:tcW w:w="1304" w:type="dxa"/>
            <w:noWrap/>
            <w:vAlign w:val="center"/>
            <w:hideMark/>
          </w:tcPr>
          <w:p w14:paraId="78B7472F" w14:textId="394E67F1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6.046</w:t>
            </w:r>
          </w:p>
        </w:tc>
        <w:tc>
          <w:tcPr>
            <w:tcW w:w="1304" w:type="dxa"/>
            <w:noWrap/>
            <w:vAlign w:val="center"/>
            <w:hideMark/>
          </w:tcPr>
          <w:p w14:paraId="2A32D933" w14:textId="7ABC0167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106.821</w:t>
            </w:r>
          </w:p>
        </w:tc>
      </w:tr>
      <w:tr w:rsidR="00584358" w:rsidRPr="00BA66B6" w14:paraId="519150DA" w14:textId="77777777" w:rsidTr="00F45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0EAA171A" w14:textId="383B5298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TOTALI BIL 2017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E44EED4" w14:textId="137B41E6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442.447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58AFF34" w14:textId="450DCFD0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228.043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06D2C9B" w14:textId="5BA56E8E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82.074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755116C" w14:textId="3539CBF4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17.043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8A3146" w14:textId="3B506DE4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769.607</w:t>
            </w:r>
          </w:p>
        </w:tc>
      </w:tr>
      <w:tr w:rsidR="00584358" w:rsidRPr="00BA66B6" w14:paraId="7021DBC5" w14:textId="77777777" w:rsidTr="00F45D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noWrap/>
            <w:hideMark/>
          </w:tcPr>
          <w:p w14:paraId="4ED78FF0" w14:textId="51DDA30D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INDUSTRIA BIL 2017</w:t>
            </w:r>
          </w:p>
        </w:tc>
        <w:tc>
          <w:tcPr>
            <w:tcW w:w="1304" w:type="dxa"/>
            <w:noWrap/>
            <w:vAlign w:val="center"/>
            <w:hideMark/>
          </w:tcPr>
          <w:p w14:paraId="3EB9D4BC" w14:textId="3BE4759F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29.839</w:t>
            </w:r>
          </w:p>
        </w:tc>
        <w:tc>
          <w:tcPr>
            <w:tcW w:w="1304" w:type="dxa"/>
            <w:noWrap/>
            <w:vAlign w:val="center"/>
            <w:hideMark/>
          </w:tcPr>
          <w:p w14:paraId="7A23155F" w14:textId="631F700C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41.631</w:t>
            </w:r>
          </w:p>
        </w:tc>
        <w:tc>
          <w:tcPr>
            <w:tcW w:w="1304" w:type="dxa"/>
            <w:noWrap/>
            <w:vAlign w:val="center"/>
            <w:hideMark/>
          </w:tcPr>
          <w:p w14:paraId="2EF7DEFD" w14:textId="3AEFF492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24.871</w:t>
            </w:r>
          </w:p>
        </w:tc>
        <w:tc>
          <w:tcPr>
            <w:tcW w:w="1304" w:type="dxa"/>
            <w:noWrap/>
            <w:vAlign w:val="center"/>
            <w:hideMark/>
          </w:tcPr>
          <w:p w14:paraId="763264F3" w14:textId="18BBE65C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5.993</w:t>
            </w:r>
          </w:p>
        </w:tc>
        <w:tc>
          <w:tcPr>
            <w:tcW w:w="1304" w:type="dxa"/>
            <w:noWrap/>
            <w:vAlign w:val="center"/>
            <w:hideMark/>
          </w:tcPr>
          <w:p w14:paraId="0657C4B4" w14:textId="233DCC31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102.334</w:t>
            </w:r>
          </w:p>
        </w:tc>
      </w:tr>
      <w:tr w:rsidR="00584358" w:rsidRPr="00BA66B6" w14:paraId="1EBEB8A9" w14:textId="77777777" w:rsidTr="00F45D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DF8FF1D" w14:textId="1178BDD2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TOT. BIL 2017, 2018 e 2019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5FE0C4" w14:textId="6B5352C1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316.712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D3E81E3" w14:textId="2606AD8F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193.123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09D4A1" w14:textId="63DE7394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75.983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E2F054D" w14:textId="1CF810A7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16.099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CEB0229" w14:textId="676157CC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601.917</w:t>
            </w:r>
          </w:p>
        </w:tc>
      </w:tr>
      <w:tr w:rsidR="00584358" w:rsidRPr="00BA66B6" w14:paraId="46147FB0" w14:textId="77777777" w:rsidTr="00F45DE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noWrap/>
            <w:hideMark/>
          </w:tcPr>
          <w:p w14:paraId="15BEF61A" w14:textId="59FB6F89" w:rsidR="00584358" w:rsidRPr="00507B56" w:rsidRDefault="00D53669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INDUSTRIA BIL 2017, 2018 e 2019</w:t>
            </w:r>
          </w:p>
        </w:tc>
        <w:tc>
          <w:tcPr>
            <w:tcW w:w="1304" w:type="dxa"/>
            <w:noWrap/>
            <w:vAlign w:val="center"/>
            <w:hideMark/>
          </w:tcPr>
          <w:p w14:paraId="59F3FA97" w14:textId="52D1D22E" w:rsidR="00584358" w:rsidRPr="00585BD6" w:rsidRDefault="00501EE4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22.873</w:t>
            </w:r>
          </w:p>
        </w:tc>
        <w:tc>
          <w:tcPr>
            <w:tcW w:w="1304" w:type="dxa"/>
            <w:noWrap/>
            <w:vAlign w:val="center"/>
            <w:hideMark/>
          </w:tcPr>
          <w:p w14:paraId="7FE16711" w14:textId="510475EB" w:rsidR="00584358" w:rsidRPr="00585BD6" w:rsidRDefault="00501EE4" w:rsidP="00501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  <w:r w:rsidR="00584358"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1304" w:type="dxa"/>
            <w:noWrap/>
            <w:vAlign w:val="center"/>
            <w:hideMark/>
          </w:tcPr>
          <w:p w14:paraId="053BECD1" w14:textId="12DC369B" w:rsidR="00584358" w:rsidRPr="00585BD6" w:rsidRDefault="00501EE4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24.005</w:t>
            </w:r>
          </w:p>
        </w:tc>
        <w:tc>
          <w:tcPr>
            <w:tcW w:w="1304" w:type="dxa"/>
            <w:noWrap/>
            <w:vAlign w:val="center"/>
            <w:hideMark/>
          </w:tcPr>
          <w:p w14:paraId="66F8C84B" w14:textId="68DD6A3B" w:rsidR="00584358" w:rsidRPr="00585BD6" w:rsidRDefault="00584358" w:rsidP="00501E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5.8</w:t>
            </w:r>
            <w:r w:rsidR="00501EE4"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04" w:type="dxa"/>
            <w:noWrap/>
            <w:vAlign w:val="center"/>
            <w:hideMark/>
          </w:tcPr>
          <w:p w14:paraId="7128D230" w14:textId="6EB57C5F" w:rsidR="00584358" w:rsidRPr="00585BD6" w:rsidRDefault="00501EE4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yellow"/>
                <w:lang w:eastAsia="it-IT"/>
              </w:rPr>
            </w:pPr>
            <w:r w:rsidRPr="00501EE4">
              <w:rPr>
                <w:rFonts w:ascii="Calibri" w:hAnsi="Calibri" w:cs="Calibri"/>
                <w:color w:val="000000"/>
                <w:sz w:val="18"/>
                <w:szCs w:val="18"/>
              </w:rPr>
              <w:t>89.787</w:t>
            </w:r>
          </w:p>
        </w:tc>
      </w:tr>
    </w:tbl>
    <w:p w14:paraId="5EB9BAB7" w14:textId="1716F8BA" w:rsidR="009646C4" w:rsidRPr="00896A4B" w:rsidRDefault="009646C4" w:rsidP="008D25E1">
      <w:pPr>
        <w:pStyle w:val="Titolo2"/>
        <w:spacing w:before="360"/>
        <w:rPr>
          <w:rFonts w:cs="Calibri"/>
          <w:szCs w:val="22"/>
        </w:rPr>
      </w:pPr>
      <w:bookmarkStart w:id="10" w:name="_Toc25058693"/>
      <w:bookmarkStart w:id="11" w:name="_Toc64210246"/>
      <w:r w:rsidRPr="00896A4B">
        <w:rPr>
          <w:rFonts w:cs="Calibri"/>
          <w:i/>
          <w:iCs/>
          <w:szCs w:val="22"/>
        </w:rPr>
        <w:t>Tabella 2</w:t>
      </w:r>
      <w:r w:rsidR="00504BAC" w:rsidRPr="00A70CBE">
        <w:rPr>
          <w:rFonts w:cs="Calibri"/>
          <w:szCs w:val="22"/>
        </w:rPr>
        <w:t xml:space="preserve"> </w:t>
      </w:r>
      <w:r w:rsidR="00C528DB" w:rsidRPr="00A70CBE">
        <w:rPr>
          <w:rFonts w:cs="Calibri"/>
          <w:szCs w:val="22"/>
        </w:rPr>
        <w:t>-</w:t>
      </w:r>
      <w:r w:rsidR="00504BAC" w:rsidRPr="00A70CBE">
        <w:rPr>
          <w:rFonts w:cs="Calibri"/>
          <w:szCs w:val="22"/>
        </w:rPr>
        <w:t xml:space="preserve"> </w:t>
      </w:r>
      <w:r w:rsidR="00504BAC" w:rsidRPr="00896A4B">
        <w:rPr>
          <w:rFonts w:cs="Calibri"/>
          <w:szCs w:val="22"/>
        </w:rPr>
        <w:t>Composizione percentuale per classi dimensionali S</w:t>
      </w:r>
      <w:r w:rsidR="00D17EB8" w:rsidRPr="00896A4B">
        <w:rPr>
          <w:rFonts w:cs="Calibri"/>
          <w:szCs w:val="22"/>
        </w:rPr>
        <w:t>rl</w:t>
      </w:r>
      <w:r w:rsidR="00504BAC" w:rsidRPr="00896A4B">
        <w:rPr>
          <w:rFonts w:cs="Calibri"/>
          <w:szCs w:val="22"/>
        </w:rPr>
        <w:t xml:space="preserve"> totali e industria</w:t>
      </w:r>
      <w:bookmarkEnd w:id="10"/>
      <w:bookmarkEnd w:id="11"/>
    </w:p>
    <w:tbl>
      <w:tblPr>
        <w:tblStyle w:val="Tabellaelenco3-colore11"/>
        <w:tblW w:w="9072" w:type="dxa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04"/>
        <w:gridCol w:w="1304"/>
        <w:gridCol w:w="1304"/>
        <w:gridCol w:w="1304"/>
        <w:gridCol w:w="1304"/>
      </w:tblGrid>
      <w:tr w:rsidR="000C480A" w:rsidRPr="00507B56" w14:paraId="4F32EA83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7F7BB02E" w14:textId="0FA5C11D" w:rsidR="00BA66B6" w:rsidRPr="00507B56" w:rsidRDefault="000C480A" w:rsidP="00BA66B6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SOCIET</w:t>
            </w:r>
            <w:r w:rsidRPr="00507B56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à</w:t>
            </w: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E BILANCI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4722BEE2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0-350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1B01CCC7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350-2.000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2F19BE9E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09B28274" w14:textId="77777777" w:rsidR="00BA66B6" w:rsidRPr="00507B56" w:rsidRDefault="00BA66B6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&gt; 10.000</w:t>
            </w:r>
          </w:p>
        </w:tc>
        <w:tc>
          <w:tcPr>
            <w:tcW w:w="1304" w:type="dxa"/>
            <w:shd w:val="clear" w:color="auto" w:fill="000099"/>
            <w:noWrap/>
            <w:vAlign w:val="center"/>
            <w:hideMark/>
          </w:tcPr>
          <w:p w14:paraId="20434175" w14:textId="7E588AD5" w:rsidR="00BA66B6" w:rsidRPr="00507B56" w:rsidRDefault="000C480A" w:rsidP="00BA6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TOTALE</w:t>
            </w:r>
          </w:p>
        </w:tc>
      </w:tr>
      <w:tr w:rsidR="00584358" w:rsidRPr="00BA66B6" w14:paraId="5D89363D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F5B8897" w14:textId="0AE4C162" w:rsidR="00584358" w:rsidRPr="00507B56" w:rsidRDefault="00584358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SRL TOT. BIL 201</w:t>
            </w:r>
            <w:r w:rsidR="0044377D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7, 2018 e 2019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594035D" w14:textId="4E15EE89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52,6%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A51E007" w14:textId="7BD7B601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32,1%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20C2CD4" w14:textId="2B5A5410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820BB5F" w14:textId="17BA9DB3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304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AC11D2D" w14:textId="604CBF5A" w:rsidR="00584358" w:rsidRPr="00507B56" w:rsidRDefault="00584358" w:rsidP="00BA66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</w:tr>
      <w:tr w:rsidR="00584358" w:rsidRPr="00BA66B6" w14:paraId="10E4347A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73F2BBC4" w14:textId="0E4D27DB" w:rsidR="00584358" w:rsidRPr="00507B56" w:rsidRDefault="00584358" w:rsidP="00E263B0">
            <w:pPr>
              <w:jc w:val="both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 xml:space="preserve">SRL </w:t>
            </w:r>
            <w:r w:rsidR="0044377D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BIL 2017, 2018 e 2019</w:t>
            </w:r>
          </w:p>
        </w:tc>
        <w:tc>
          <w:tcPr>
            <w:tcW w:w="1304" w:type="dxa"/>
            <w:noWrap/>
            <w:vAlign w:val="center"/>
            <w:hideMark/>
          </w:tcPr>
          <w:p w14:paraId="421A46D6" w14:textId="4DDF5819" w:rsidR="00584358" w:rsidRPr="00507B56" w:rsidRDefault="0044377D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25,5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noWrap/>
            <w:vAlign w:val="center"/>
            <w:hideMark/>
          </w:tcPr>
          <w:p w14:paraId="051C6AAB" w14:textId="584B00B1" w:rsidR="00584358" w:rsidRPr="00507B56" w:rsidRDefault="0044377D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41,3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noWrap/>
            <w:vAlign w:val="center"/>
            <w:hideMark/>
          </w:tcPr>
          <w:p w14:paraId="2E34DD51" w14:textId="7564E55B" w:rsidR="00584358" w:rsidRPr="00507B56" w:rsidRDefault="0044377D" w:rsidP="004437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26,7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noWrap/>
            <w:vAlign w:val="center"/>
            <w:hideMark/>
          </w:tcPr>
          <w:p w14:paraId="3D1B32EF" w14:textId="5B0F6335" w:rsidR="00584358" w:rsidRPr="00507B56" w:rsidRDefault="0044377D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6,5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04" w:type="dxa"/>
            <w:noWrap/>
            <w:vAlign w:val="center"/>
            <w:hideMark/>
          </w:tcPr>
          <w:p w14:paraId="577DD1BD" w14:textId="10BA2C91" w:rsidR="00584358" w:rsidRPr="00507B56" w:rsidRDefault="00584358" w:rsidP="00BA6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100,0%</w:t>
            </w:r>
          </w:p>
        </w:tc>
      </w:tr>
    </w:tbl>
    <w:p w14:paraId="6A2078AD" w14:textId="752283AF" w:rsidR="00501A8C" w:rsidRPr="00A70CBE" w:rsidRDefault="000C480A" w:rsidP="008D25E1">
      <w:pPr>
        <w:pStyle w:val="Titolo2"/>
        <w:spacing w:before="360"/>
        <w:rPr>
          <w:rFonts w:cs="Times New Roman"/>
          <w:i/>
          <w:szCs w:val="18"/>
        </w:rPr>
      </w:pPr>
      <w:bookmarkStart w:id="12" w:name="_Toc64210247"/>
      <w:r w:rsidRPr="00A70CBE">
        <w:rPr>
          <w:i/>
          <w:iCs/>
        </w:rPr>
        <w:t>Tabella 3</w:t>
      </w:r>
      <w:r w:rsidRPr="00A70CBE">
        <w:t xml:space="preserve"> - Variazione 201</w:t>
      </w:r>
      <w:r w:rsidR="00A62D84">
        <w:t>9</w:t>
      </w:r>
      <w:r w:rsidRPr="00A70CBE">
        <w:t xml:space="preserve"> su 201</w:t>
      </w:r>
      <w:r w:rsidR="00A62D84">
        <w:t>8</w:t>
      </w:r>
      <w:r w:rsidRPr="00A70CBE">
        <w:t xml:space="preserve"> per classi dimensionali di fatturato Srl attive settore Industria</w:t>
      </w:r>
      <w:bookmarkEnd w:id="12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2580"/>
        <w:gridCol w:w="1039"/>
        <w:gridCol w:w="1308"/>
        <w:gridCol w:w="1562"/>
        <w:gridCol w:w="1186"/>
        <w:gridCol w:w="1395"/>
      </w:tblGrid>
      <w:tr w:rsidR="000C480A" w:rsidRPr="00507B56" w14:paraId="3CDB4630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2" w:type="pc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2B770A9A" w14:textId="443ECB8C" w:rsidR="003D6DE6" w:rsidRPr="00507B56" w:rsidRDefault="00854440" w:rsidP="003D6DE6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573" w:type="pct"/>
            <w:shd w:val="clear" w:color="auto" w:fill="000099"/>
            <w:noWrap/>
            <w:vAlign w:val="center"/>
            <w:hideMark/>
          </w:tcPr>
          <w:p w14:paraId="10DE7111" w14:textId="77777777" w:rsidR="003D6DE6" w:rsidRPr="00507B56" w:rsidRDefault="003D6DE6" w:rsidP="003D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0-350</w:t>
            </w:r>
          </w:p>
        </w:tc>
        <w:tc>
          <w:tcPr>
            <w:tcW w:w="721" w:type="pct"/>
            <w:shd w:val="clear" w:color="auto" w:fill="000099"/>
            <w:noWrap/>
            <w:vAlign w:val="center"/>
            <w:hideMark/>
          </w:tcPr>
          <w:p w14:paraId="40A458B7" w14:textId="77777777" w:rsidR="003D6DE6" w:rsidRPr="00507B56" w:rsidRDefault="003D6DE6" w:rsidP="003D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350-2.000</w:t>
            </w:r>
          </w:p>
        </w:tc>
        <w:tc>
          <w:tcPr>
            <w:tcW w:w="861" w:type="pct"/>
            <w:shd w:val="clear" w:color="auto" w:fill="000099"/>
            <w:noWrap/>
            <w:vAlign w:val="center"/>
            <w:hideMark/>
          </w:tcPr>
          <w:p w14:paraId="7BEC3F84" w14:textId="77777777" w:rsidR="003D6DE6" w:rsidRPr="00507B56" w:rsidRDefault="003D6DE6" w:rsidP="003D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654" w:type="pct"/>
            <w:shd w:val="clear" w:color="auto" w:fill="000099"/>
            <w:noWrap/>
            <w:vAlign w:val="center"/>
            <w:hideMark/>
          </w:tcPr>
          <w:p w14:paraId="314D9F65" w14:textId="77777777" w:rsidR="003D6DE6" w:rsidRPr="00507B56" w:rsidRDefault="003D6DE6" w:rsidP="003D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&gt; 10.000</w:t>
            </w:r>
          </w:p>
        </w:tc>
        <w:tc>
          <w:tcPr>
            <w:tcW w:w="769" w:type="pct"/>
            <w:shd w:val="clear" w:color="auto" w:fill="000099"/>
            <w:noWrap/>
            <w:vAlign w:val="center"/>
            <w:hideMark/>
          </w:tcPr>
          <w:p w14:paraId="09E8A3A9" w14:textId="77777777" w:rsidR="003D6DE6" w:rsidRPr="00507B56" w:rsidRDefault="003D6DE6" w:rsidP="003D6D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Totale</w:t>
            </w:r>
          </w:p>
        </w:tc>
      </w:tr>
      <w:tr w:rsidR="00584358" w:rsidRPr="003D6DE6" w14:paraId="3252EC0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3207754" w14:textId="77777777" w:rsidR="00584358" w:rsidRPr="00507B56" w:rsidRDefault="00584358" w:rsidP="003D6DE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Addetti</w:t>
            </w:r>
          </w:p>
        </w:tc>
        <w:tc>
          <w:tcPr>
            <w:tcW w:w="57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F8EADD4" w14:textId="09A3CF49" w:rsidR="00584358" w:rsidRPr="001922AA" w:rsidRDefault="001922AA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1,0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FAF6F77" w14:textId="46045331" w:rsidR="00584358" w:rsidRPr="001922AA" w:rsidRDefault="001922AA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2,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853ECB6" w14:textId="1F24B5C5" w:rsidR="00584358" w:rsidRPr="00507B56" w:rsidRDefault="00300222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4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6AD0312" w14:textId="406637EB" w:rsidR="00584358" w:rsidRPr="00507B56" w:rsidRDefault="00300222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6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5B943D" w14:textId="2EA25D25" w:rsidR="00584358" w:rsidRPr="00507B56" w:rsidRDefault="00300222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,1%</w:t>
            </w:r>
          </w:p>
        </w:tc>
      </w:tr>
      <w:tr w:rsidR="00584358" w:rsidRPr="003D6DE6" w14:paraId="01F20945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tcBorders>
              <w:right w:val="none" w:sz="0" w:space="0" w:color="auto"/>
            </w:tcBorders>
            <w:noWrap/>
            <w:hideMark/>
          </w:tcPr>
          <w:p w14:paraId="3235E31F" w14:textId="77777777" w:rsidR="00584358" w:rsidRPr="00507B56" w:rsidRDefault="00584358" w:rsidP="003D6DE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573" w:type="pct"/>
            <w:noWrap/>
            <w:vAlign w:val="center"/>
            <w:hideMark/>
          </w:tcPr>
          <w:p w14:paraId="5856EB89" w14:textId="69A4ECB3" w:rsidR="00584358" w:rsidRPr="001922AA" w:rsidRDefault="001922AA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-0,4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1" w:type="pct"/>
            <w:noWrap/>
            <w:vAlign w:val="center"/>
            <w:hideMark/>
          </w:tcPr>
          <w:p w14:paraId="1996C75B" w14:textId="28FAAEBB" w:rsidR="00584358" w:rsidRPr="001922AA" w:rsidRDefault="001922AA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-0,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861" w:type="pct"/>
            <w:noWrap/>
            <w:vAlign w:val="center"/>
            <w:hideMark/>
          </w:tcPr>
          <w:p w14:paraId="486AA6B4" w14:textId="2C690FBC" w:rsidR="00584358" w:rsidRPr="00507B56" w:rsidRDefault="00F4352C" w:rsidP="00F43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4" w:type="pct"/>
            <w:noWrap/>
            <w:vAlign w:val="center"/>
            <w:hideMark/>
          </w:tcPr>
          <w:p w14:paraId="3E8A2D85" w14:textId="7CF4A6BF" w:rsidR="00584358" w:rsidRPr="00507B56" w:rsidRDefault="00F4352C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69" w:type="pct"/>
            <w:noWrap/>
            <w:vAlign w:val="center"/>
            <w:hideMark/>
          </w:tcPr>
          <w:p w14:paraId="560110E5" w14:textId="5D4F74AA" w:rsidR="00584358" w:rsidRPr="00507B56" w:rsidRDefault="00F4352C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584358" w:rsidRPr="003D6DE6" w14:paraId="23C5DABD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D5A5B02" w14:textId="77777777" w:rsidR="00584358" w:rsidRPr="00507B56" w:rsidRDefault="00584358" w:rsidP="003D6DE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57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E622562" w14:textId="7739D5BA" w:rsidR="00584358" w:rsidRPr="001922AA" w:rsidRDefault="001922AA" w:rsidP="00192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-0,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4%</w:t>
            </w:r>
          </w:p>
        </w:tc>
        <w:tc>
          <w:tcPr>
            <w:tcW w:w="72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410049" w14:textId="2D2A8C9D" w:rsidR="00584358" w:rsidRPr="001922AA" w:rsidRDefault="001922AA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-0,2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B4C8A3" w14:textId="252503AE" w:rsidR="00584358" w:rsidRPr="00507B56" w:rsidRDefault="00F4352C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4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081E013" w14:textId="652E3381" w:rsidR="00584358" w:rsidRPr="00507B56" w:rsidRDefault="00F4352C" w:rsidP="00F43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6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17DD7A0" w14:textId="4D04BC08" w:rsidR="00584358" w:rsidRPr="00507B56" w:rsidRDefault="00F4352C" w:rsidP="003D6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  <w:tr w:rsidR="00584358" w:rsidRPr="003D6DE6" w14:paraId="14C51A3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pct"/>
            <w:tcBorders>
              <w:right w:val="none" w:sz="0" w:space="0" w:color="auto"/>
            </w:tcBorders>
            <w:noWrap/>
            <w:hideMark/>
          </w:tcPr>
          <w:p w14:paraId="786539D2" w14:textId="77777777" w:rsidR="00584358" w:rsidRPr="00507B56" w:rsidRDefault="00584358" w:rsidP="003D6DE6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573" w:type="pct"/>
            <w:noWrap/>
            <w:vAlign w:val="center"/>
            <w:hideMark/>
          </w:tcPr>
          <w:p w14:paraId="5E68157A" w14:textId="71033ACB" w:rsidR="00584358" w:rsidRPr="001922AA" w:rsidRDefault="001922AA" w:rsidP="00192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21" w:type="pct"/>
            <w:noWrap/>
            <w:vAlign w:val="center"/>
            <w:hideMark/>
          </w:tcPr>
          <w:p w14:paraId="5A0CC601" w14:textId="53192BF4" w:rsidR="00584358" w:rsidRPr="001922AA" w:rsidRDefault="001922AA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0,9</w:t>
            </w:r>
            <w:r w:rsidR="00584358" w:rsidRPr="001922AA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861" w:type="pct"/>
            <w:noWrap/>
            <w:vAlign w:val="center"/>
            <w:hideMark/>
          </w:tcPr>
          <w:p w14:paraId="371508A7" w14:textId="6F849544" w:rsidR="00584358" w:rsidRPr="00507B56" w:rsidRDefault="00F4352C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654" w:type="pct"/>
            <w:noWrap/>
            <w:vAlign w:val="center"/>
            <w:hideMark/>
          </w:tcPr>
          <w:p w14:paraId="3CF9C4E9" w14:textId="7DE4B953" w:rsidR="00584358" w:rsidRPr="00507B56" w:rsidRDefault="00F4352C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769" w:type="pct"/>
            <w:noWrap/>
            <w:vAlign w:val="center"/>
            <w:hideMark/>
          </w:tcPr>
          <w:p w14:paraId="5503FB1B" w14:textId="73ACE20D" w:rsidR="00584358" w:rsidRPr="00507B56" w:rsidRDefault="00F4352C" w:rsidP="003D6D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</w:t>
            </w:r>
            <w:r w:rsidR="00584358">
              <w:rPr>
                <w:rFonts w:ascii="Calibri" w:hAnsi="Calibri" w:cs="Calibri"/>
                <w:color w:val="000000"/>
                <w:sz w:val="18"/>
                <w:szCs w:val="18"/>
              </w:rPr>
              <w:t>%</w:t>
            </w:r>
          </w:p>
        </w:tc>
      </w:tr>
    </w:tbl>
    <w:p w14:paraId="1546A58B" w14:textId="77777777" w:rsidR="00FA0ABD" w:rsidRDefault="00FA0ABD" w:rsidP="00896A4B">
      <w:pPr>
        <w:pStyle w:val="Titolo2"/>
        <w:rPr>
          <w:i/>
        </w:rPr>
      </w:pPr>
      <w:bookmarkStart w:id="13" w:name="_Toc25058695"/>
    </w:p>
    <w:p w14:paraId="6B19B2F1" w14:textId="77777777" w:rsidR="00FA0ABD" w:rsidRDefault="00FA0ABD">
      <w:pPr>
        <w:rPr>
          <w:rFonts w:ascii="Calibri" w:eastAsiaTheme="majorEastAsia" w:hAnsi="Calibri" w:cstheme="majorBidi"/>
          <w:i/>
          <w:sz w:val="20"/>
          <w:szCs w:val="26"/>
        </w:rPr>
      </w:pPr>
      <w:r>
        <w:rPr>
          <w:i/>
        </w:rPr>
        <w:br w:type="page"/>
      </w:r>
    </w:p>
    <w:p w14:paraId="3CDABB82" w14:textId="220EADE1" w:rsidR="0063187D" w:rsidRPr="00A70CBE" w:rsidRDefault="000C480A" w:rsidP="00896A4B">
      <w:pPr>
        <w:pStyle w:val="Titolo2"/>
        <w:rPr>
          <w:rFonts w:eastAsia="Times New Roman"/>
          <w:lang w:eastAsia="it-IT"/>
        </w:rPr>
      </w:pPr>
      <w:bookmarkStart w:id="14" w:name="_Toc64210248"/>
      <w:r w:rsidRPr="00A70CBE">
        <w:rPr>
          <w:i/>
        </w:rPr>
        <w:lastRenderedPageBreak/>
        <w:t xml:space="preserve">Tabella 4 - </w:t>
      </w:r>
      <w:r w:rsidRPr="00A70CBE">
        <w:t xml:space="preserve">Numero di Società, Ricavi, Addetti e quote percentuali per i singoli </w:t>
      </w:r>
      <w:bookmarkEnd w:id="13"/>
      <w:r w:rsidR="00FA0ABD">
        <w:rPr>
          <w:rFonts w:eastAsia="Times New Roman"/>
          <w:lang w:eastAsia="it-IT"/>
        </w:rPr>
        <w:t>comparti industriali</w:t>
      </w:r>
      <w:bookmarkEnd w:id="14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2649"/>
        <w:gridCol w:w="793"/>
        <w:gridCol w:w="785"/>
        <w:gridCol w:w="1177"/>
        <w:gridCol w:w="816"/>
        <w:gridCol w:w="1029"/>
        <w:gridCol w:w="785"/>
        <w:gridCol w:w="1036"/>
      </w:tblGrid>
      <w:tr w:rsidR="00FA0ABD" w:rsidRPr="000C480A" w14:paraId="21CC1A9C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0" w:type="pc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16C78FD2" w14:textId="5E4B3ED4" w:rsidR="0063187D" w:rsidRPr="000C480A" w:rsidRDefault="00160C6E" w:rsidP="0063187D">
            <w:pPr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A02A7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437" w:type="pct"/>
            <w:shd w:val="clear" w:color="auto" w:fill="000099"/>
            <w:noWrap/>
            <w:vAlign w:val="center"/>
            <w:hideMark/>
          </w:tcPr>
          <w:p w14:paraId="00E5315A" w14:textId="0A992788" w:rsidR="0063187D" w:rsidRPr="000C480A" w:rsidRDefault="00424736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SRL</w:t>
            </w:r>
          </w:p>
        </w:tc>
        <w:tc>
          <w:tcPr>
            <w:tcW w:w="433" w:type="pct"/>
            <w:shd w:val="clear" w:color="auto" w:fill="000099"/>
            <w:noWrap/>
            <w:vAlign w:val="center"/>
            <w:hideMark/>
          </w:tcPr>
          <w:p w14:paraId="73A2F6CD" w14:textId="5603A387" w:rsidR="0063187D" w:rsidRPr="000C480A" w:rsidRDefault="0063187D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649" w:type="pct"/>
            <w:shd w:val="clear" w:color="auto" w:fill="000099"/>
            <w:noWrap/>
            <w:vAlign w:val="center"/>
            <w:hideMark/>
          </w:tcPr>
          <w:p w14:paraId="4DE2FDA6" w14:textId="77777777" w:rsidR="0063187D" w:rsidRPr="000C480A" w:rsidRDefault="0063187D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450" w:type="pct"/>
            <w:shd w:val="clear" w:color="auto" w:fill="000099"/>
            <w:noWrap/>
            <w:vAlign w:val="center"/>
            <w:hideMark/>
          </w:tcPr>
          <w:p w14:paraId="1829B355" w14:textId="06B37553" w:rsidR="0063187D" w:rsidRPr="000C480A" w:rsidRDefault="0063187D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567" w:type="pct"/>
            <w:shd w:val="clear" w:color="auto" w:fill="000099"/>
            <w:noWrap/>
            <w:vAlign w:val="center"/>
            <w:hideMark/>
          </w:tcPr>
          <w:p w14:paraId="12D1782F" w14:textId="77777777" w:rsidR="0063187D" w:rsidRPr="000C480A" w:rsidRDefault="0063187D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Addetti</w:t>
            </w:r>
          </w:p>
        </w:tc>
        <w:tc>
          <w:tcPr>
            <w:tcW w:w="433" w:type="pct"/>
            <w:shd w:val="clear" w:color="auto" w:fill="000099"/>
            <w:noWrap/>
            <w:vAlign w:val="center"/>
            <w:hideMark/>
          </w:tcPr>
          <w:p w14:paraId="08FC4E50" w14:textId="230B304E" w:rsidR="0063187D" w:rsidRPr="000C480A" w:rsidRDefault="0063187D" w:rsidP="0063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571" w:type="pct"/>
            <w:shd w:val="clear" w:color="auto" w:fill="000099"/>
            <w:vAlign w:val="center"/>
            <w:hideMark/>
          </w:tcPr>
          <w:p w14:paraId="5254FF1F" w14:textId="432BE605" w:rsidR="0063187D" w:rsidRPr="000C480A" w:rsidRDefault="00424736" w:rsidP="00CE0B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</w:pPr>
            <w:r w:rsidRPr="000C480A">
              <w:rPr>
                <w:rFonts w:ascii="Calibri" w:eastAsia="Times New Roman" w:hAnsi="Calibri" w:cs="Calibri"/>
                <w:caps/>
                <w:sz w:val="18"/>
                <w:szCs w:val="18"/>
                <w:lang w:eastAsia="it-IT"/>
              </w:rPr>
              <w:t>Fatt/Add</w:t>
            </w:r>
          </w:p>
        </w:tc>
      </w:tr>
      <w:tr w:rsidR="00585BD6" w:rsidRPr="00424736" w14:paraId="743D884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E259E0D" w14:textId="21AAA726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42D2838" w14:textId="229F9AA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8.874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6CE1D6" w14:textId="5CC05A0B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207B07" w14:textId="129586F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44.575.502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01C7C6F" w14:textId="64B94394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12,6%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FDE6D58" w14:textId="082F544C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138.881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158A3C" w14:textId="0EF49D5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C64DB4A" w14:textId="4ECC08D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321</w:t>
            </w:r>
          </w:p>
        </w:tc>
      </w:tr>
      <w:tr w:rsidR="00585BD6" w:rsidRPr="00424736" w14:paraId="73B938E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5E94F875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437" w:type="pct"/>
            <w:noWrap/>
            <w:vAlign w:val="center"/>
            <w:hideMark/>
          </w:tcPr>
          <w:p w14:paraId="140C95C5" w14:textId="53E8F971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3.199</w:t>
            </w:r>
          </w:p>
        </w:tc>
        <w:tc>
          <w:tcPr>
            <w:tcW w:w="433" w:type="pct"/>
            <w:noWrap/>
            <w:vAlign w:val="center"/>
            <w:hideMark/>
          </w:tcPr>
          <w:p w14:paraId="41DA644F" w14:textId="08C78D2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649" w:type="pct"/>
            <w:noWrap/>
            <w:vAlign w:val="center"/>
            <w:hideMark/>
          </w:tcPr>
          <w:p w14:paraId="7246F7F3" w14:textId="016C151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9.816.067</w:t>
            </w:r>
          </w:p>
        </w:tc>
        <w:tc>
          <w:tcPr>
            <w:tcW w:w="450" w:type="pct"/>
            <w:noWrap/>
            <w:vAlign w:val="center"/>
            <w:hideMark/>
          </w:tcPr>
          <w:p w14:paraId="27A30989" w14:textId="6FED459A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567" w:type="pct"/>
            <w:noWrap/>
            <w:vAlign w:val="center"/>
            <w:hideMark/>
          </w:tcPr>
          <w:p w14:paraId="34B181BF" w14:textId="5818FED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46.335</w:t>
            </w:r>
          </w:p>
        </w:tc>
        <w:tc>
          <w:tcPr>
            <w:tcW w:w="433" w:type="pct"/>
            <w:noWrap/>
            <w:vAlign w:val="center"/>
            <w:hideMark/>
          </w:tcPr>
          <w:p w14:paraId="18CB3FFA" w14:textId="4065F8E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3,2%</w:t>
            </w:r>
          </w:p>
        </w:tc>
        <w:tc>
          <w:tcPr>
            <w:tcW w:w="571" w:type="pct"/>
            <w:noWrap/>
            <w:vAlign w:val="center"/>
            <w:hideMark/>
          </w:tcPr>
          <w:p w14:paraId="48620727" w14:textId="5CF0CD9C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585BD6" w:rsidRPr="00424736" w14:paraId="0D6A9EE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3C82E83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1AD2D88" w14:textId="0D88A0A9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4.484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B8A15B" w14:textId="79AA1D4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130FEC" w14:textId="5B1418D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13.092.789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756D847" w14:textId="60467CD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9B40C42" w14:textId="2E69C124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61.665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B47328A" w14:textId="29F4734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56ACDEC" w14:textId="096636B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585BD6" w:rsidRPr="00424736" w14:paraId="44FE544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4E5E6798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437" w:type="pct"/>
            <w:noWrap/>
            <w:vAlign w:val="center"/>
            <w:hideMark/>
          </w:tcPr>
          <w:p w14:paraId="16B91919" w14:textId="731A4D1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3.525</w:t>
            </w:r>
          </w:p>
        </w:tc>
        <w:tc>
          <w:tcPr>
            <w:tcW w:w="433" w:type="pct"/>
            <w:noWrap/>
            <w:vAlign w:val="center"/>
            <w:hideMark/>
          </w:tcPr>
          <w:p w14:paraId="5604969E" w14:textId="29F83AD7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649" w:type="pct"/>
            <w:noWrap/>
            <w:vAlign w:val="center"/>
            <w:hideMark/>
          </w:tcPr>
          <w:p w14:paraId="091310A1" w14:textId="25134C04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14.331.884</w:t>
            </w:r>
          </w:p>
        </w:tc>
        <w:tc>
          <w:tcPr>
            <w:tcW w:w="450" w:type="pct"/>
            <w:noWrap/>
            <w:vAlign w:val="center"/>
            <w:hideMark/>
          </w:tcPr>
          <w:p w14:paraId="3B71B32D" w14:textId="7816DE0D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567" w:type="pct"/>
            <w:noWrap/>
            <w:vAlign w:val="center"/>
            <w:hideMark/>
          </w:tcPr>
          <w:p w14:paraId="13F39227" w14:textId="750E51B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67.564</w:t>
            </w:r>
          </w:p>
        </w:tc>
        <w:tc>
          <w:tcPr>
            <w:tcW w:w="433" w:type="pct"/>
            <w:noWrap/>
            <w:vAlign w:val="center"/>
            <w:hideMark/>
          </w:tcPr>
          <w:p w14:paraId="023A9C9E" w14:textId="69EA640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571" w:type="pct"/>
            <w:noWrap/>
            <w:vAlign w:val="center"/>
            <w:hideMark/>
          </w:tcPr>
          <w:p w14:paraId="1D970097" w14:textId="5DEF9497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212</w:t>
            </w:r>
          </w:p>
        </w:tc>
      </w:tr>
      <w:tr w:rsidR="00585BD6" w:rsidRPr="00424736" w14:paraId="07403D00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BF349AE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F5E9304" w14:textId="4991584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3.230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A3AF592" w14:textId="564CA7E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EB91EB" w14:textId="28170618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6.369.515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249C0D6" w14:textId="52F411DB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778AC3" w14:textId="4409E9C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31.870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F133D73" w14:textId="08B8A37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02930C1" w14:textId="39588C2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</w:tr>
      <w:tr w:rsidR="00585BD6" w:rsidRPr="00424736" w14:paraId="1EC59136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4670D728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437" w:type="pct"/>
            <w:noWrap/>
            <w:vAlign w:val="center"/>
            <w:hideMark/>
          </w:tcPr>
          <w:p w14:paraId="71FAEF2C" w14:textId="3C0A4660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1.499</w:t>
            </w:r>
          </w:p>
        </w:tc>
        <w:tc>
          <w:tcPr>
            <w:tcW w:w="433" w:type="pct"/>
            <w:noWrap/>
            <w:vAlign w:val="center"/>
            <w:hideMark/>
          </w:tcPr>
          <w:p w14:paraId="42B65C6D" w14:textId="709D5834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1,7%</w:t>
            </w:r>
          </w:p>
        </w:tc>
        <w:tc>
          <w:tcPr>
            <w:tcW w:w="649" w:type="pct"/>
            <w:noWrap/>
            <w:vAlign w:val="center"/>
            <w:hideMark/>
          </w:tcPr>
          <w:p w14:paraId="69049BBC" w14:textId="4514438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8.204.246</w:t>
            </w:r>
          </w:p>
        </w:tc>
        <w:tc>
          <w:tcPr>
            <w:tcW w:w="450" w:type="pct"/>
            <w:noWrap/>
            <w:vAlign w:val="center"/>
            <w:hideMark/>
          </w:tcPr>
          <w:p w14:paraId="70D768D7" w14:textId="196631B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567" w:type="pct"/>
            <w:noWrap/>
            <w:vAlign w:val="center"/>
            <w:hideMark/>
          </w:tcPr>
          <w:p w14:paraId="12DDEF61" w14:textId="662BDB16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27.431</w:t>
            </w:r>
          </w:p>
        </w:tc>
        <w:tc>
          <w:tcPr>
            <w:tcW w:w="433" w:type="pct"/>
            <w:noWrap/>
            <w:vAlign w:val="center"/>
            <w:hideMark/>
          </w:tcPr>
          <w:p w14:paraId="673505AC" w14:textId="589F933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571" w:type="pct"/>
            <w:noWrap/>
            <w:vAlign w:val="center"/>
            <w:hideMark/>
          </w:tcPr>
          <w:p w14:paraId="7827827B" w14:textId="31AA3EDC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299</w:t>
            </w:r>
          </w:p>
        </w:tc>
      </w:tr>
      <w:tr w:rsidR="00585BD6" w:rsidRPr="00424736" w14:paraId="6042635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C608715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E2AE887" w14:textId="352C493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3.134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F2749DA" w14:textId="6E53D27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148FC9F" w14:textId="161C466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4.718.230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8104418" w14:textId="44AE8884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3110896" w14:textId="0E005B0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30.003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834159" w14:textId="41BDBFF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96EF1E2" w14:textId="41F94FC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</w:t>
            </w:r>
          </w:p>
        </w:tc>
      </w:tr>
      <w:tr w:rsidR="00585BD6" w:rsidRPr="00424736" w14:paraId="3531FF65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6DEAAEB7" w14:textId="071B4D6B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437" w:type="pct"/>
            <w:noWrap/>
            <w:vAlign w:val="center"/>
            <w:hideMark/>
          </w:tcPr>
          <w:p w14:paraId="5F3D8AB4" w14:textId="4972639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33" w:type="pct"/>
            <w:noWrap/>
            <w:vAlign w:val="center"/>
            <w:hideMark/>
          </w:tcPr>
          <w:p w14:paraId="56FF0EB4" w14:textId="29C4D8D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649" w:type="pct"/>
            <w:noWrap/>
            <w:vAlign w:val="center"/>
            <w:hideMark/>
          </w:tcPr>
          <w:p w14:paraId="11E3FE23" w14:textId="5288C640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7.327.910</w:t>
            </w:r>
          </w:p>
        </w:tc>
        <w:tc>
          <w:tcPr>
            <w:tcW w:w="450" w:type="pct"/>
            <w:noWrap/>
            <w:vAlign w:val="center"/>
            <w:hideMark/>
          </w:tcPr>
          <w:p w14:paraId="72994A05" w14:textId="48E50326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567" w:type="pct"/>
            <w:noWrap/>
            <w:vAlign w:val="center"/>
            <w:hideMark/>
          </w:tcPr>
          <w:p w14:paraId="7DB9A2B1" w14:textId="3C31752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4.538</w:t>
            </w:r>
          </w:p>
        </w:tc>
        <w:tc>
          <w:tcPr>
            <w:tcW w:w="433" w:type="pct"/>
            <w:noWrap/>
            <w:vAlign w:val="center"/>
            <w:hideMark/>
          </w:tcPr>
          <w:p w14:paraId="55A34A53" w14:textId="2B08B87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571" w:type="pct"/>
            <w:noWrap/>
            <w:vAlign w:val="center"/>
            <w:hideMark/>
          </w:tcPr>
          <w:p w14:paraId="74672CE3" w14:textId="2B1856FD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1615</w:t>
            </w:r>
          </w:p>
        </w:tc>
      </w:tr>
      <w:tr w:rsidR="00585BD6" w:rsidRPr="00424736" w14:paraId="1E381B5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A1F9424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88309BD" w14:textId="7943612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2.499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195747" w14:textId="22ACDE4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535FA70" w14:textId="5CEC9004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22.175.501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2D564A4" w14:textId="7BD1B22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82CC21" w14:textId="6E047308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47.967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7DE0533" w14:textId="003F8C39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7A4F10" w14:textId="26CACB1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462</w:t>
            </w:r>
          </w:p>
        </w:tc>
      </w:tr>
      <w:tr w:rsidR="00585BD6" w:rsidRPr="00424736" w14:paraId="00E079F7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697D9C43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437" w:type="pct"/>
            <w:noWrap/>
            <w:vAlign w:val="center"/>
            <w:hideMark/>
          </w:tcPr>
          <w:p w14:paraId="12E0B75F" w14:textId="5FFDC14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433" w:type="pct"/>
            <w:noWrap/>
            <w:vAlign w:val="center"/>
            <w:hideMark/>
          </w:tcPr>
          <w:p w14:paraId="51E762BF" w14:textId="2A58A0F0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649" w:type="pct"/>
            <w:noWrap/>
            <w:vAlign w:val="center"/>
            <w:hideMark/>
          </w:tcPr>
          <w:p w14:paraId="34C40BCF" w14:textId="47BF1423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9.693.028</w:t>
            </w:r>
          </w:p>
        </w:tc>
        <w:tc>
          <w:tcPr>
            <w:tcW w:w="450" w:type="pct"/>
            <w:noWrap/>
            <w:vAlign w:val="center"/>
            <w:hideMark/>
          </w:tcPr>
          <w:p w14:paraId="6005D68B" w14:textId="755CCAB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567" w:type="pct"/>
            <w:noWrap/>
            <w:vAlign w:val="center"/>
            <w:hideMark/>
          </w:tcPr>
          <w:p w14:paraId="5B04843C" w14:textId="7DE833F0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23.176</w:t>
            </w:r>
          </w:p>
        </w:tc>
        <w:tc>
          <w:tcPr>
            <w:tcW w:w="433" w:type="pct"/>
            <w:noWrap/>
            <w:vAlign w:val="center"/>
            <w:hideMark/>
          </w:tcPr>
          <w:p w14:paraId="5751E7A8" w14:textId="1575804A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571" w:type="pct"/>
            <w:noWrap/>
            <w:vAlign w:val="center"/>
            <w:hideMark/>
          </w:tcPr>
          <w:p w14:paraId="7C310D84" w14:textId="1499104B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</w:t>
            </w:r>
          </w:p>
        </w:tc>
      </w:tr>
      <w:tr w:rsidR="00585BD6" w:rsidRPr="00424736" w14:paraId="707C351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EB3B9B2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FE7A7A7" w14:textId="1F809379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4.579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5176345" w14:textId="618B3BE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D483159" w14:textId="7E4B8A56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21.995.204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599F0A8" w14:textId="2F8856A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DB24841" w14:textId="4ACED90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89.756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8ABCAD" w14:textId="04BC978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4753B9A" w14:textId="68E11BC8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</w:t>
            </w:r>
          </w:p>
        </w:tc>
      </w:tr>
      <w:tr w:rsidR="00585BD6" w:rsidRPr="00424736" w14:paraId="0944A6DB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680CE13B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437" w:type="pct"/>
            <w:noWrap/>
            <w:vAlign w:val="center"/>
            <w:hideMark/>
          </w:tcPr>
          <w:p w14:paraId="512991A3" w14:textId="04EBC6C7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4.637</w:t>
            </w:r>
          </w:p>
        </w:tc>
        <w:tc>
          <w:tcPr>
            <w:tcW w:w="433" w:type="pct"/>
            <w:noWrap/>
            <w:vAlign w:val="center"/>
            <w:hideMark/>
          </w:tcPr>
          <w:p w14:paraId="42C5080F" w14:textId="6FBE743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649" w:type="pct"/>
            <w:noWrap/>
            <w:vAlign w:val="center"/>
            <w:hideMark/>
          </w:tcPr>
          <w:p w14:paraId="1BD30C3B" w14:textId="045C240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11.608.222</w:t>
            </w:r>
          </w:p>
        </w:tc>
        <w:tc>
          <w:tcPr>
            <w:tcW w:w="450" w:type="pct"/>
            <w:noWrap/>
            <w:vAlign w:val="center"/>
            <w:hideMark/>
          </w:tcPr>
          <w:p w14:paraId="0A88F2AD" w14:textId="7323AA0C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567" w:type="pct"/>
            <w:noWrap/>
            <w:vAlign w:val="center"/>
            <w:hideMark/>
          </w:tcPr>
          <w:p w14:paraId="42D29603" w14:textId="3210CA4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54.262</w:t>
            </w:r>
          </w:p>
        </w:tc>
        <w:tc>
          <w:tcPr>
            <w:tcW w:w="433" w:type="pct"/>
            <w:noWrap/>
            <w:vAlign w:val="center"/>
            <w:hideMark/>
          </w:tcPr>
          <w:p w14:paraId="23D1CFA7" w14:textId="64F777FF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571" w:type="pct"/>
            <w:noWrap/>
            <w:vAlign w:val="center"/>
            <w:hideMark/>
          </w:tcPr>
          <w:p w14:paraId="4317F5FC" w14:textId="5774C7FA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214</w:t>
            </w:r>
          </w:p>
        </w:tc>
      </w:tr>
      <w:tr w:rsidR="00585BD6" w:rsidRPr="00424736" w14:paraId="6D7D050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9C1DF06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Metallurgia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95BD41" w14:textId="507DC1D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1.242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A1272" w14:textId="27E77A7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F28337" w14:textId="6975064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9.938.735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5A0D316" w14:textId="1073374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5CEC171" w14:textId="0FBD9D6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28.051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7DFECB5" w14:textId="4D1D9A6B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488C1BB" w14:textId="0ACBDFAC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354</w:t>
            </w:r>
          </w:p>
        </w:tc>
      </w:tr>
      <w:tr w:rsidR="00585BD6" w:rsidRPr="00424736" w14:paraId="0D2A30B7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70363B60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437" w:type="pct"/>
            <w:noWrap/>
            <w:vAlign w:val="center"/>
            <w:hideMark/>
          </w:tcPr>
          <w:p w14:paraId="6B90B24E" w14:textId="0E0D2D13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21.321</w:t>
            </w:r>
          </w:p>
        </w:tc>
        <w:tc>
          <w:tcPr>
            <w:tcW w:w="433" w:type="pct"/>
            <w:noWrap/>
            <w:vAlign w:val="center"/>
            <w:hideMark/>
          </w:tcPr>
          <w:p w14:paraId="291551D9" w14:textId="1653B24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23,7%</w:t>
            </w:r>
          </w:p>
        </w:tc>
        <w:tc>
          <w:tcPr>
            <w:tcW w:w="649" w:type="pct"/>
            <w:noWrap/>
            <w:vAlign w:val="center"/>
            <w:hideMark/>
          </w:tcPr>
          <w:p w14:paraId="31F1C0E2" w14:textId="35FC86A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54.371.800</w:t>
            </w:r>
          </w:p>
        </w:tc>
        <w:tc>
          <w:tcPr>
            <w:tcW w:w="450" w:type="pct"/>
            <w:noWrap/>
            <w:vAlign w:val="center"/>
            <w:hideMark/>
          </w:tcPr>
          <w:p w14:paraId="228169C8" w14:textId="54B74B4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15,4%</w:t>
            </w:r>
          </w:p>
        </w:tc>
        <w:tc>
          <w:tcPr>
            <w:tcW w:w="567" w:type="pct"/>
            <w:noWrap/>
            <w:vAlign w:val="center"/>
            <w:hideMark/>
          </w:tcPr>
          <w:p w14:paraId="59C3E2AA" w14:textId="3F69AC23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313.479</w:t>
            </w:r>
          </w:p>
        </w:tc>
        <w:tc>
          <w:tcPr>
            <w:tcW w:w="433" w:type="pct"/>
            <w:noWrap/>
            <w:vAlign w:val="center"/>
            <w:hideMark/>
          </w:tcPr>
          <w:p w14:paraId="4ADB78C3" w14:textId="4319132C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21,9%</w:t>
            </w:r>
          </w:p>
        </w:tc>
        <w:tc>
          <w:tcPr>
            <w:tcW w:w="571" w:type="pct"/>
            <w:noWrap/>
            <w:vAlign w:val="center"/>
            <w:hideMark/>
          </w:tcPr>
          <w:p w14:paraId="60B4A4FC" w14:textId="307A8231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</w:t>
            </w:r>
          </w:p>
        </w:tc>
      </w:tr>
      <w:tr w:rsidR="00585BD6" w:rsidRPr="00424736" w14:paraId="1AD4E99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69B95CD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CEB197" w14:textId="6DE3272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3.101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97FB8B5" w14:textId="625BDF2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3DDE333" w14:textId="06FCE4F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12.151.951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2620780" w14:textId="4CC0F3DC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C68985" w14:textId="4DB4ABC0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57.023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96B338" w14:textId="216E3319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664795" w14:textId="0BF2151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213</w:t>
            </w:r>
          </w:p>
        </w:tc>
      </w:tr>
      <w:tr w:rsidR="00585BD6" w:rsidRPr="00424736" w14:paraId="789B8295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7512CE46" w14:textId="2A2699BC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437" w:type="pct"/>
            <w:noWrap/>
            <w:vAlign w:val="center"/>
            <w:hideMark/>
          </w:tcPr>
          <w:p w14:paraId="6D805401" w14:textId="7D1544DD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3.544</w:t>
            </w:r>
          </w:p>
        </w:tc>
        <w:tc>
          <w:tcPr>
            <w:tcW w:w="433" w:type="pct"/>
            <w:noWrap/>
            <w:vAlign w:val="center"/>
            <w:hideMark/>
          </w:tcPr>
          <w:p w14:paraId="6F239EE0" w14:textId="7993C7A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649" w:type="pct"/>
            <w:noWrap/>
            <w:vAlign w:val="center"/>
            <w:hideMark/>
          </w:tcPr>
          <w:p w14:paraId="4492E299" w14:textId="09B1024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15.216.518</w:t>
            </w:r>
          </w:p>
        </w:tc>
        <w:tc>
          <w:tcPr>
            <w:tcW w:w="450" w:type="pct"/>
            <w:noWrap/>
            <w:vAlign w:val="center"/>
            <w:hideMark/>
          </w:tcPr>
          <w:p w14:paraId="520BDEB9" w14:textId="244BD2DF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567" w:type="pct"/>
            <w:noWrap/>
            <w:vAlign w:val="center"/>
            <w:hideMark/>
          </w:tcPr>
          <w:p w14:paraId="2C6C4290" w14:textId="7DCED395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58.234</w:t>
            </w:r>
          </w:p>
        </w:tc>
        <w:tc>
          <w:tcPr>
            <w:tcW w:w="433" w:type="pct"/>
            <w:noWrap/>
            <w:vAlign w:val="center"/>
            <w:hideMark/>
          </w:tcPr>
          <w:p w14:paraId="5042629B" w14:textId="1C86128F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571" w:type="pct"/>
            <w:noWrap/>
            <w:vAlign w:val="center"/>
            <w:hideMark/>
          </w:tcPr>
          <w:p w14:paraId="1DCDBB6A" w14:textId="5AE5447F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261</w:t>
            </w:r>
          </w:p>
        </w:tc>
      </w:tr>
      <w:tr w:rsidR="00585BD6" w:rsidRPr="00424736" w14:paraId="3E74F4A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0ED8D5D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54C662" w14:textId="11CD422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10.785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34B6DC7" w14:textId="1D8DB720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FBF37E8" w14:textId="6AD2D90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53.224.275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5D0A1DA" w14:textId="5376F99C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15,1%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DDECE7" w14:textId="00F83A2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198.818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D64968" w14:textId="1088D64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13,9%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ACB25C6" w14:textId="40C59097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268</w:t>
            </w:r>
          </w:p>
        </w:tc>
      </w:tr>
      <w:tr w:rsidR="00585BD6" w:rsidRPr="00424736" w14:paraId="3EEC6D8E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27DB38DC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437" w:type="pct"/>
            <w:noWrap/>
            <w:vAlign w:val="center"/>
            <w:hideMark/>
          </w:tcPr>
          <w:p w14:paraId="2021299D" w14:textId="63DF45F4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1.117</w:t>
            </w:r>
          </w:p>
        </w:tc>
        <w:tc>
          <w:tcPr>
            <w:tcW w:w="433" w:type="pct"/>
            <w:noWrap/>
            <w:vAlign w:val="center"/>
            <w:hideMark/>
          </w:tcPr>
          <w:p w14:paraId="33462FC5" w14:textId="0D7A2A7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649" w:type="pct"/>
            <w:noWrap/>
            <w:vAlign w:val="center"/>
            <w:hideMark/>
          </w:tcPr>
          <w:p w14:paraId="26A37A33" w14:textId="7C13A4B4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9.298.405</w:t>
            </w:r>
          </w:p>
        </w:tc>
        <w:tc>
          <w:tcPr>
            <w:tcW w:w="450" w:type="pct"/>
            <w:noWrap/>
            <w:vAlign w:val="center"/>
            <w:hideMark/>
          </w:tcPr>
          <w:p w14:paraId="6893C400" w14:textId="2FF38866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567" w:type="pct"/>
            <w:noWrap/>
            <w:vAlign w:val="center"/>
            <w:hideMark/>
          </w:tcPr>
          <w:p w14:paraId="07D32D2A" w14:textId="0696587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35.963</w:t>
            </w:r>
          </w:p>
        </w:tc>
        <w:tc>
          <w:tcPr>
            <w:tcW w:w="433" w:type="pct"/>
            <w:noWrap/>
            <w:vAlign w:val="center"/>
            <w:hideMark/>
          </w:tcPr>
          <w:p w14:paraId="4B784CB8" w14:textId="5554D92B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571" w:type="pct"/>
            <w:noWrap/>
            <w:vAlign w:val="center"/>
            <w:hideMark/>
          </w:tcPr>
          <w:p w14:paraId="61240BFA" w14:textId="5A946F56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259</w:t>
            </w:r>
          </w:p>
        </w:tc>
      </w:tr>
      <w:tr w:rsidR="00585BD6" w:rsidRPr="00424736" w14:paraId="666443E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F33C478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004E7F0" w14:textId="4EFDB8DF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1.190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742D2CD" w14:textId="79916CC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99E02E7" w14:textId="596AF7C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5.205.873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E21823" w14:textId="6C76339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5C49D61" w14:textId="5B1F5FD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22.596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2D66196" w14:textId="28355575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56A9F0C" w14:textId="530B8741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</w:t>
            </w:r>
          </w:p>
        </w:tc>
      </w:tr>
      <w:tr w:rsidR="00585BD6" w:rsidRPr="00424736" w14:paraId="5A8C8590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2F8D1B9B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437" w:type="pct"/>
            <w:noWrap/>
            <w:vAlign w:val="center"/>
            <w:hideMark/>
          </w:tcPr>
          <w:p w14:paraId="5368CF5E" w14:textId="3D2FE568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3.856</w:t>
            </w:r>
          </w:p>
        </w:tc>
        <w:tc>
          <w:tcPr>
            <w:tcW w:w="433" w:type="pct"/>
            <w:noWrap/>
            <w:vAlign w:val="center"/>
            <w:hideMark/>
          </w:tcPr>
          <w:p w14:paraId="76E81C9E" w14:textId="6EAA44EA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649" w:type="pct"/>
            <w:noWrap/>
            <w:vAlign w:val="center"/>
            <w:hideMark/>
          </w:tcPr>
          <w:p w14:paraId="419EC093" w14:textId="6F6AD797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9.975.976</w:t>
            </w:r>
          </w:p>
        </w:tc>
        <w:tc>
          <w:tcPr>
            <w:tcW w:w="450" w:type="pct"/>
            <w:noWrap/>
            <w:vAlign w:val="center"/>
            <w:hideMark/>
          </w:tcPr>
          <w:p w14:paraId="024EA5E4" w14:textId="0256E1B9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567" w:type="pct"/>
            <w:noWrap/>
            <w:vAlign w:val="center"/>
            <w:hideMark/>
          </w:tcPr>
          <w:p w14:paraId="1E3ED12E" w14:textId="5470D662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49.247</w:t>
            </w:r>
          </w:p>
        </w:tc>
        <w:tc>
          <w:tcPr>
            <w:tcW w:w="433" w:type="pct"/>
            <w:noWrap/>
            <w:vAlign w:val="center"/>
            <w:hideMark/>
          </w:tcPr>
          <w:p w14:paraId="6AEB91C6" w14:textId="4FA2E4D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571" w:type="pct"/>
            <w:noWrap/>
            <w:vAlign w:val="center"/>
            <w:hideMark/>
          </w:tcPr>
          <w:p w14:paraId="6A445562" w14:textId="3A3F838E" w:rsidR="00585BD6" w:rsidRPr="00424736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585BD6" w:rsidRPr="00424736" w14:paraId="0FEF413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BECD3E8" w14:textId="77777777" w:rsidR="00585BD6" w:rsidRPr="00424736" w:rsidRDefault="00585BD6" w:rsidP="0063187D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424736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43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8A4905" w14:textId="62A7EEA8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3.509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F200135" w14:textId="23E1B59A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64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9DB3788" w14:textId="23B1A40D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9.145.880</w:t>
            </w:r>
          </w:p>
        </w:tc>
        <w:tc>
          <w:tcPr>
            <w:tcW w:w="45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EE17D3" w14:textId="26BD8F80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2,6%</w:t>
            </w:r>
          </w:p>
        </w:tc>
        <w:tc>
          <w:tcPr>
            <w:tcW w:w="56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E14D510" w14:textId="424CED32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45.004</w:t>
            </w: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03EB7BC" w14:textId="22D4858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571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11B5096" w14:textId="7E1DF7CE" w:rsidR="00585BD6" w:rsidRPr="00424736" w:rsidRDefault="00585BD6" w:rsidP="0063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</w:t>
            </w:r>
          </w:p>
        </w:tc>
      </w:tr>
      <w:tr w:rsidR="00585BD6" w:rsidRPr="00A70CBE" w14:paraId="47E000EF" w14:textId="77777777" w:rsidTr="00A5623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pct"/>
            <w:tcBorders>
              <w:right w:val="none" w:sz="0" w:space="0" w:color="auto"/>
            </w:tcBorders>
            <w:vAlign w:val="center"/>
            <w:hideMark/>
          </w:tcPr>
          <w:p w14:paraId="68A4CD93" w14:textId="77777777" w:rsidR="00585BD6" w:rsidRPr="00A70CBE" w:rsidRDefault="00585BD6" w:rsidP="0063187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37" w:type="pct"/>
            <w:noWrap/>
            <w:vAlign w:val="center"/>
            <w:hideMark/>
          </w:tcPr>
          <w:p w14:paraId="156F7E96" w14:textId="6AFA4361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89.787</w:t>
            </w:r>
          </w:p>
        </w:tc>
        <w:tc>
          <w:tcPr>
            <w:tcW w:w="433" w:type="pct"/>
            <w:noWrap/>
            <w:vAlign w:val="center"/>
            <w:hideMark/>
          </w:tcPr>
          <w:p w14:paraId="7157EF78" w14:textId="44A477B0" w:rsidR="00585BD6" w:rsidRPr="00E263B0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649" w:type="pct"/>
            <w:noWrap/>
            <w:vAlign w:val="center"/>
            <w:hideMark/>
          </w:tcPr>
          <w:p w14:paraId="558ACA86" w14:textId="62CEBFA1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352.437.511</w:t>
            </w:r>
          </w:p>
        </w:tc>
        <w:tc>
          <w:tcPr>
            <w:tcW w:w="450" w:type="pct"/>
            <w:noWrap/>
            <w:vAlign w:val="center"/>
            <w:hideMark/>
          </w:tcPr>
          <w:p w14:paraId="4888614D" w14:textId="30B58641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567" w:type="pct"/>
            <w:noWrap/>
            <w:vAlign w:val="center"/>
            <w:hideMark/>
          </w:tcPr>
          <w:p w14:paraId="3309B305" w14:textId="054EB190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1.431.863</w:t>
            </w:r>
          </w:p>
        </w:tc>
        <w:tc>
          <w:tcPr>
            <w:tcW w:w="433" w:type="pct"/>
            <w:noWrap/>
            <w:vAlign w:val="center"/>
            <w:hideMark/>
          </w:tcPr>
          <w:p w14:paraId="16259DD0" w14:textId="6084D0B5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571" w:type="pct"/>
            <w:noWrap/>
            <w:vAlign w:val="center"/>
            <w:hideMark/>
          </w:tcPr>
          <w:p w14:paraId="3C23E39E" w14:textId="6FBB03C4" w:rsidR="00585BD6" w:rsidRPr="00A70CBE" w:rsidRDefault="00585BD6" w:rsidP="0063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246</w:t>
            </w:r>
          </w:p>
        </w:tc>
      </w:tr>
    </w:tbl>
    <w:p w14:paraId="54D82371" w14:textId="77777777" w:rsidR="00FA0ABD" w:rsidRDefault="00FA0ABD" w:rsidP="00896A4B">
      <w:pPr>
        <w:pStyle w:val="Titolo2"/>
        <w:rPr>
          <w:rFonts w:eastAsia="Times New Roman"/>
          <w:i/>
          <w:iCs/>
          <w:lang w:eastAsia="it-IT"/>
        </w:rPr>
      </w:pPr>
      <w:bookmarkStart w:id="15" w:name="_Toc25058696"/>
    </w:p>
    <w:p w14:paraId="31151324" w14:textId="77777777" w:rsidR="00FA0ABD" w:rsidRDefault="00FA0ABD">
      <w:pPr>
        <w:rPr>
          <w:rFonts w:ascii="Calibri" w:eastAsia="Times New Roman" w:hAnsi="Calibri" w:cstheme="majorBidi"/>
          <w:i/>
          <w:iCs/>
          <w:sz w:val="20"/>
          <w:szCs w:val="26"/>
          <w:lang w:eastAsia="it-IT"/>
        </w:rPr>
      </w:pPr>
      <w:r>
        <w:rPr>
          <w:rFonts w:eastAsia="Times New Roman"/>
          <w:i/>
          <w:iCs/>
          <w:lang w:eastAsia="it-IT"/>
        </w:rPr>
        <w:br w:type="page"/>
      </w:r>
    </w:p>
    <w:p w14:paraId="204A83D0" w14:textId="199DACA7" w:rsidR="0063187D" w:rsidRPr="00A70CBE" w:rsidRDefault="00A02A7A" w:rsidP="00896A4B">
      <w:pPr>
        <w:pStyle w:val="Titolo2"/>
        <w:rPr>
          <w:rFonts w:eastAsia="Times New Roman" w:cs="Times New Roman"/>
          <w:bCs/>
          <w:i/>
          <w:lang w:eastAsia="it-IT"/>
        </w:rPr>
      </w:pPr>
      <w:bookmarkStart w:id="16" w:name="_Toc64210249"/>
      <w:r w:rsidRPr="00A70CBE">
        <w:rPr>
          <w:rFonts w:eastAsia="Times New Roman"/>
          <w:i/>
          <w:iCs/>
          <w:lang w:eastAsia="it-IT"/>
        </w:rPr>
        <w:lastRenderedPageBreak/>
        <w:t>Tabella 5</w:t>
      </w:r>
      <w:r w:rsidRPr="00A70CBE">
        <w:rPr>
          <w:rFonts w:eastAsia="Times New Roman"/>
          <w:lang w:eastAsia="it-IT"/>
        </w:rPr>
        <w:t xml:space="preserve"> - Variazione percentuale 201</w:t>
      </w:r>
      <w:r w:rsidR="00E27157">
        <w:rPr>
          <w:rFonts w:eastAsia="Times New Roman"/>
          <w:lang w:eastAsia="it-IT"/>
        </w:rPr>
        <w:t>9</w:t>
      </w:r>
      <w:r w:rsidRPr="00A70CBE">
        <w:rPr>
          <w:rFonts w:eastAsia="Times New Roman"/>
          <w:lang w:eastAsia="it-IT"/>
        </w:rPr>
        <w:t xml:space="preserve"> su</w:t>
      </w:r>
      <w:r w:rsidR="00FA0ABD">
        <w:rPr>
          <w:rFonts w:eastAsia="Times New Roman"/>
          <w:lang w:eastAsia="it-IT"/>
        </w:rPr>
        <w:t xml:space="preserve"> 201</w:t>
      </w:r>
      <w:r w:rsidR="00E27157">
        <w:rPr>
          <w:rFonts w:eastAsia="Times New Roman"/>
          <w:lang w:eastAsia="it-IT"/>
        </w:rPr>
        <w:t>8</w:t>
      </w:r>
      <w:r w:rsidR="00FA0ABD">
        <w:rPr>
          <w:rFonts w:eastAsia="Times New Roman"/>
          <w:lang w:eastAsia="it-IT"/>
        </w:rPr>
        <w:t xml:space="preserve"> dipendenti per comparti</w:t>
      </w:r>
      <w:bookmarkEnd w:id="15"/>
      <w:r w:rsidR="00FA0ABD">
        <w:rPr>
          <w:rFonts w:eastAsia="Times New Roman"/>
          <w:lang w:eastAsia="it-IT"/>
        </w:rPr>
        <w:t xml:space="preserve"> industriali</w:t>
      </w:r>
      <w:bookmarkEnd w:id="16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3463"/>
        <w:gridCol w:w="1339"/>
        <w:gridCol w:w="1451"/>
        <w:gridCol w:w="1451"/>
        <w:gridCol w:w="1366"/>
      </w:tblGrid>
      <w:tr w:rsidR="00A02A7A" w:rsidRPr="00A02A7A" w14:paraId="0F1A04E2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9" w:type="pc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2C0413B6" w14:textId="2D27BE09" w:rsidR="000A6C85" w:rsidRPr="00A02A7A" w:rsidRDefault="00D17EB8" w:rsidP="000A6C85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A02A7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738" w:type="pct"/>
            <w:shd w:val="clear" w:color="auto" w:fill="000099"/>
            <w:noWrap/>
            <w:vAlign w:val="center"/>
            <w:hideMark/>
          </w:tcPr>
          <w:p w14:paraId="3374F9FF" w14:textId="77777777" w:rsidR="000A6C85" w:rsidRPr="00A02A7A" w:rsidRDefault="000A6C85" w:rsidP="000A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02A7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0-2.000</w:t>
            </w:r>
          </w:p>
        </w:tc>
        <w:tc>
          <w:tcPr>
            <w:tcW w:w="800" w:type="pct"/>
            <w:shd w:val="clear" w:color="auto" w:fill="000099"/>
            <w:noWrap/>
            <w:vAlign w:val="center"/>
            <w:hideMark/>
          </w:tcPr>
          <w:p w14:paraId="29A76D0D" w14:textId="77777777" w:rsidR="000A6C85" w:rsidRPr="00A02A7A" w:rsidRDefault="000A6C85" w:rsidP="000A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02A7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800" w:type="pct"/>
            <w:shd w:val="clear" w:color="auto" w:fill="000099"/>
            <w:noWrap/>
            <w:vAlign w:val="center"/>
            <w:hideMark/>
          </w:tcPr>
          <w:p w14:paraId="170F5528" w14:textId="77777777" w:rsidR="000A6C85" w:rsidRPr="00A02A7A" w:rsidRDefault="000A6C85" w:rsidP="000A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A02A7A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Più di 10.000</w:t>
            </w:r>
          </w:p>
        </w:tc>
        <w:tc>
          <w:tcPr>
            <w:tcW w:w="753" w:type="pct"/>
            <w:shd w:val="clear" w:color="auto" w:fill="000099"/>
            <w:noWrap/>
            <w:vAlign w:val="center"/>
            <w:hideMark/>
          </w:tcPr>
          <w:p w14:paraId="4242934F" w14:textId="77777777" w:rsidR="000A6C85" w:rsidRPr="000875D9" w:rsidRDefault="000A6C85" w:rsidP="000A6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</w:pPr>
            <w:r w:rsidRPr="000875D9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Totale</w:t>
            </w:r>
          </w:p>
        </w:tc>
      </w:tr>
      <w:tr w:rsidR="00ED31F1" w:rsidRPr="000A6C85" w14:paraId="4248F82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43A1B01" w14:textId="2C0174A6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42AEB73" w14:textId="32685DF1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D977ECF" w14:textId="43775605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E8918F" w14:textId="2EF7B0FC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024E3EF" w14:textId="09534D63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7,2%</w:t>
            </w:r>
          </w:p>
        </w:tc>
      </w:tr>
      <w:tr w:rsidR="00ED31F1" w:rsidRPr="000A6C85" w14:paraId="5074AF49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5445DB67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738" w:type="pct"/>
            <w:noWrap/>
            <w:vAlign w:val="center"/>
            <w:hideMark/>
          </w:tcPr>
          <w:p w14:paraId="16FECE38" w14:textId="509AF060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800" w:type="pct"/>
            <w:noWrap/>
            <w:vAlign w:val="center"/>
            <w:hideMark/>
          </w:tcPr>
          <w:p w14:paraId="4839FEFA" w14:textId="3E102007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800" w:type="pct"/>
            <w:noWrap/>
            <w:vAlign w:val="center"/>
            <w:hideMark/>
          </w:tcPr>
          <w:p w14:paraId="73F7A558" w14:textId="033E9C23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-4,1%</w:t>
            </w:r>
          </w:p>
        </w:tc>
        <w:tc>
          <w:tcPr>
            <w:tcW w:w="753" w:type="pct"/>
            <w:noWrap/>
            <w:vAlign w:val="center"/>
            <w:hideMark/>
          </w:tcPr>
          <w:p w14:paraId="7E8F09B7" w14:textId="445DC987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</w:tr>
      <w:tr w:rsidR="00ED31F1" w:rsidRPr="000A6C85" w14:paraId="014FD04E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7755C76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68E5A5" w14:textId="3F2A7C2F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F3ECF6C" w14:textId="5BE49850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-1,6%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7A82BF6" w14:textId="7719952A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AB7261" w14:textId="5B99A7CF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</w:tr>
      <w:tr w:rsidR="00ED31F1" w:rsidRPr="000A6C85" w14:paraId="4706D524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6DF6E460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738" w:type="pct"/>
            <w:noWrap/>
            <w:vAlign w:val="center"/>
            <w:hideMark/>
          </w:tcPr>
          <w:p w14:paraId="33A41EE1" w14:textId="724F5012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6,2%</w:t>
            </w:r>
          </w:p>
        </w:tc>
        <w:tc>
          <w:tcPr>
            <w:tcW w:w="800" w:type="pct"/>
            <w:noWrap/>
            <w:vAlign w:val="center"/>
            <w:hideMark/>
          </w:tcPr>
          <w:p w14:paraId="3A416140" w14:textId="3E9C92DD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800" w:type="pct"/>
            <w:noWrap/>
            <w:vAlign w:val="center"/>
            <w:hideMark/>
          </w:tcPr>
          <w:p w14:paraId="793CA0F9" w14:textId="7E3EA0EC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9,3%</w:t>
            </w:r>
          </w:p>
        </w:tc>
        <w:tc>
          <w:tcPr>
            <w:tcW w:w="753" w:type="pct"/>
            <w:noWrap/>
            <w:vAlign w:val="center"/>
            <w:hideMark/>
          </w:tcPr>
          <w:p w14:paraId="25F870A9" w14:textId="616F794D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6,2%</w:t>
            </w:r>
          </w:p>
        </w:tc>
      </w:tr>
      <w:tr w:rsidR="00ED31F1" w:rsidRPr="000A6C85" w14:paraId="05F6A2B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C2BA66F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19CE0CA" w14:textId="29E7A372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-3,4%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A6897F2" w14:textId="6B8715BA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99A14B3" w14:textId="589A8C8C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-1,6%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19058C" w14:textId="1A83B5D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</w:tr>
      <w:tr w:rsidR="00ED31F1" w:rsidRPr="000A6C85" w14:paraId="2804DCB3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61CC9ADF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738" w:type="pct"/>
            <w:noWrap/>
            <w:vAlign w:val="center"/>
            <w:hideMark/>
          </w:tcPr>
          <w:p w14:paraId="015E41CB" w14:textId="665CB545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-1,9%</w:t>
            </w:r>
          </w:p>
        </w:tc>
        <w:tc>
          <w:tcPr>
            <w:tcW w:w="800" w:type="pct"/>
            <w:noWrap/>
            <w:vAlign w:val="center"/>
            <w:hideMark/>
          </w:tcPr>
          <w:p w14:paraId="180EC7FD" w14:textId="41CAA490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800" w:type="pct"/>
            <w:noWrap/>
            <w:vAlign w:val="center"/>
            <w:hideMark/>
          </w:tcPr>
          <w:p w14:paraId="0A1AF414" w14:textId="309ED4C8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753" w:type="pct"/>
            <w:noWrap/>
            <w:vAlign w:val="center"/>
            <w:hideMark/>
          </w:tcPr>
          <w:p w14:paraId="471266F7" w14:textId="706BB3CC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</w:tr>
      <w:tr w:rsidR="00ED31F1" w:rsidRPr="000A6C85" w14:paraId="032ACC4D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D937B6B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DF2A124" w14:textId="44585A5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01CEA25" w14:textId="7C0FC68C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04F8840" w14:textId="46DE37B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62ACDED" w14:textId="3362E839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ED31F1" w:rsidRPr="000A6C85" w14:paraId="63569DFF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1BEC593A" w14:textId="609607E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738" w:type="pct"/>
            <w:noWrap/>
            <w:vAlign w:val="center"/>
            <w:hideMark/>
          </w:tcPr>
          <w:p w14:paraId="5527C2D7" w14:textId="14396DD6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800" w:type="pct"/>
            <w:noWrap/>
            <w:vAlign w:val="center"/>
            <w:hideMark/>
          </w:tcPr>
          <w:p w14:paraId="716A887F" w14:textId="3B6B01E4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00" w:type="pct"/>
            <w:noWrap/>
            <w:vAlign w:val="center"/>
            <w:hideMark/>
          </w:tcPr>
          <w:p w14:paraId="1F035A8A" w14:textId="5D3D1BA7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753" w:type="pct"/>
            <w:noWrap/>
            <w:vAlign w:val="center"/>
            <w:hideMark/>
          </w:tcPr>
          <w:p w14:paraId="5EB510E9" w14:textId="0E9019F4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</w:tr>
      <w:tr w:rsidR="00ED31F1" w:rsidRPr="000A6C85" w14:paraId="3BA39BF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CF83A4C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9E13659" w14:textId="44ECA277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-3,2%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FEECBC6" w14:textId="34EFEE0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70C43CB" w14:textId="695AC38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C91ACEC" w14:textId="1E2FF506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</w:tr>
      <w:tr w:rsidR="00ED31F1" w:rsidRPr="000A6C85" w14:paraId="7D8D90F2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0EA368D1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738" w:type="pct"/>
            <w:noWrap/>
            <w:vAlign w:val="center"/>
            <w:hideMark/>
          </w:tcPr>
          <w:p w14:paraId="2DF8C6BC" w14:textId="5CD8D3BC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800" w:type="pct"/>
            <w:noWrap/>
            <w:vAlign w:val="center"/>
            <w:hideMark/>
          </w:tcPr>
          <w:p w14:paraId="3BECE59A" w14:textId="7674AE4C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-8,4%</w:t>
            </w:r>
          </w:p>
        </w:tc>
        <w:tc>
          <w:tcPr>
            <w:tcW w:w="800" w:type="pct"/>
            <w:noWrap/>
            <w:vAlign w:val="center"/>
            <w:hideMark/>
          </w:tcPr>
          <w:p w14:paraId="0A310D7B" w14:textId="0A340DA8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753" w:type="pct"/>
            <w:noWrap/>
            <w:vAlign w:val="center"/>
            <w:hideMark/>
          </w:tcPr>
          <w:p w14:paraId="16DED492" w14:textId="3C5A4DB9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</w:tr>
      <w:tr w:rsidR="00ED31F1" w:rsidRPr="000A6C85" w14:paraId="5E97406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AFE7EB0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04EF9A2" w14:textId="00B0AAC6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0CB9193" w14:textId="139E4FC4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C9C6017" w14:textId="714E7F3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61F01DD" w14:textId="49E49A73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ED31F1" w:rsidRPr="000A6C85" w14:paraId="4EFFFF0F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6B8EB217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738" w:type="pct"/>
            <w:noWrap/>
            <w:vAlign w:val="center"/>
            <w:hideMark/>
          </w:tcPr>
          <w:p w14:paraId="5C53142A" w14:textId="1F72A6A3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-2,8%</w:t>
            </w:r>
          </w:p>
        </w:tc>
        <w:tc>
          <w:tcPr>
            <w:tcW w:w="800" w:type="pct"/>
            <w:noWrap/>
            <w:vAlign w:val="center"/>
            <w:hideMark/>
          </w:tcPr>
          <w:p w14:paraId="7A397A2D" w14:textId="2D26A93F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800" w:type="pct"/>
            <w:noWrap/>
            <w:vAlign w:val="center"/>
            <w:hideMark/>
          </w:tcPr>
          <w:p w14:paraId="0A111845" w14:textId="5360A6A4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753" w:type="pct"/>
            <w:noWrap/>
            <w:vAlign w:val="center"/>
            <w:hideMark/>
          </w:tcPr>
          <w:p w14:paraId="4CDCD5B9" w14:textId="348FA44C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</w:tr>
      <w:tr w:rsidR="00ED31F1" w:rsidRPr="000A6C85" w14:paraId="4E8B3DE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E8CF05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Metallurgia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75AD438" w14:textId="3920B716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28C6DA3" w14:textId="6172501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0570BD1" w14:textId="1CC11C0A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6CFF4E" w14:textId="16B168D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1,4%</w:t>
            </w:r>
          </w:p>
        </w:tc>
      </w:tr>
      <w:tr w:rsidR="00ED31F1" w:rsidRPr="000A6C85" w14:paraId="085FE9FA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4ED1EC54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738" w:type="pct"/>
            <w:noWrap/>
            <w:vAlign w:val="center"/>
            <w:hideMark/>
          </w:tcPr>
          <w:p w14:paraId="66643B90" w14:textId="0E8AA631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00" w:type="pct"/>
            <w:noWrap/>
            <w:vAlign w:val="center"/>
            <w:hideMark/>
          </w:tcPr>
          <w:p w14:paraId="2E4DF67B" w14:textId="0E5A3439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800" w:type="pct"/>
            <w:noWrap/>
            <w:vAlign w:val="center"/>
            <w:hideMark/>
          </w:tcPr>
          <w:p w14:paraId="7FF58720" w14:textId="452754DD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753" w:type="pct"/>
            <w:noWrap/>
            <w:vAlign w:val="center"/>
            <w:hideMark/>
          </w:tcPr>
          <w:p w14:paraId="094DCA8B" w14:textId="4D93B3A4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ED31F1" w:rsidRPr="000A6C85" w14:paraId="65AB116E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29FC721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A71661" w14:textId="0A5A9802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3125576" w14:textId="4804761D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16581FC" w14:textId="5FFD322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E386C99" w14:textId="7D710A44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2,4%</w:t>
            </w:r>
          </w:p>
        </w:tc>
      </w:tr>
      <w:tr w:rsidR="00ED31F1" w:rsidRPr="000A6C85" w14:paraId="4B927AAD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6EC89FB8" w14:textId="2FE43F71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738" w:type="pct"/>
            <w:noWrap/>
            <w:vAlign w:val="center"/>
            <w:hideMark/>
          </w:tcPr>
          <w:p w14:paraId="21A4523A" w14:textId="498EBAAB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800" w:type="pct"/>
            <w:noWrap/>
            <w:vAlign w:val="center"/>
            <w:hideMark/>
          </w:tcPr>
          <w:p w14:paraId="37F342A1" w14:textId="163E5A20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00" w:type="pct"/>
            <w:noWrap/>
            <w:vAlign w:val="center"/>
            <w:hideMark/>
          </w:tcPr>
          <w:p w14:paraId="0A4FDFE0" w14:textId="313BE6A2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753" w:type="pct"/>
            <w:noWrap/>
            <w:vAlign w:val="center"/>
            <w:hideMark/>
          </w:tcPr>
          <w:p w14:paraId="354C4F7F" w14:textId="7253EF56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</w:tr>
      <w:tr w:rsidR="00ED31F1" w:rsidRPr="000A6C85" w14:paraId="029D3E7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7919E3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E2E78A" w14:textId="55DC18D1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0D97D50" w14:textId="5AFBA6E5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A93A48" w14:textId="12259202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12DBC49" w14:textId="47C3CDCE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</w:tr>
      <w:tr w:rsidR="00ED31F1" w:rsidRPr="000A6C85" w14:paraId="3ACF3E14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6571740D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738" w:type="pct"/>
            <w:noWrap/>
            <w:vAlign w:val="center"/>
            <w:hideMark/>
          </w:tcPr>
          <w:p w14:paraId="4C7E125B" w14:textId="5330D737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00" w:type="pct"/>
            <w:noWrap/>
            <w:vAlign w:val="center"/>
            <w:hideMark/>
          </w:tcPr>
          <w:p w14:paraId="1B9312AA" w14:textId="5D088BD0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4,0%</w:t>
            </w:r>
          </w:p>
        </w:tc>
        <w:tc>
          <w:tcPr>
            <w:tcW w:w="800" w:type="pct"/>
            <w:noWrap/>
            <w:vAlign w:val="center"/>
            <w:hideMark/>
          </w:tcPr>
          <w:p w14:paraId="743FC2EB" w14:textId="1371067B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753" w:type="pct"/>
            <w:noWrap/>
            <w:vAlign w:val="center"/>
            <w:hideMark/>
          </w:tcPr>
          <w:p w14:paraId="4D25B64B" w14:textId="42BCB086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1,0%</w:t>
            </w:r>
          </w:p>
        </w:tc>
      </w:tr>
      <w:tr w:rsidR="00ED31F1" w:rsidRPr="000A6C85" w14:paraId="135929EF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B8D4F25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7221C07" w14:textId="5F0294A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29A0D5D" w14:textId="0C96775F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AFF73F0" w14:textId="365CB319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50F9F26" w14:textId="13567B45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7,0%</w:t>
            </w:r>
          </w:p>
        </w:tc>
      </w:tr>
      <w:tr w:rsidR="00ED31F1" w:rsidRPr="000A6C85" w14:paraId="6172FAAC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5EAA60FB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738" w:type="pct"/>
            <w:noWrap/>
            <w:vAlign w:val="center"/>
            <w:hideMark/>
          </w:tcPr>
          <w:p w14:paraId="49576F00" w14:textId="2B5E5369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00" w:type="pct"/>
            <w:noWrap/>
            <w:vAlign w:val="center"/>
            <w:hideMark/>
          </w:tcPr>
          <w:p w14:paraId="3A4A2978" w14:textId="4D683F7B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00" w:type="pct"/>
            <w:noWrap/>
            <w:vAlign w:val="center"/>
            <w:hideMark/>
          </w:tcPr>
          <w:p w14:paraId="4A25AB99" w14:textId="59427D13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753" w:type="pct"/>
            <w:noWrap/>
            <w:vAlign w:val="center"/>
            <w:hideMark/>
          </w:tcPr>
          <w:p w14:paraId="2234DF9B" w14:textId="336CD232" w:rsidR="00ED31F1" w:rsidRPr="00A70CBE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</w:tr>
      <w:tr w:rsidR="00ED31F1" w:rsidRPr="000A6C85" w14:paraId="4ECFF04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3078FA0" w14:textId="77777777" w:rsidR="00ED31F1" w:rsidRPr="00A70CBE" w:rsidRDefault="00ED31F1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738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41D9943" w14:textId="5A976212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-0,9%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E8D524B" w14:textId="4285547A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800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E9ACE81" w14:textId="6A384388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6,7%</w:t>
            </w:r>
          </w:p>
        </w:tc>
        <w:tc>
          <w:tcPr>
            <w:tcW w:w="7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F0FABE" w14:textId="524C0406" w:rsidR="00ED31F1" w:rsidRPr="00A70CBE" w:rsidRDefault="00ED31F1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</w:tr>
      <w:tr w:rsidR="00ED31F1" w:rsidRPr="00A70CBE" w14:paraId="3C044566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pct"/>
            <w:tcBorders>
              <w:right w:val="none" w:sz="0" w:space="0" w:color="auto"/>
            </w:tcBorders>
            <w:vAlign w:val="center"/>
            <w:hideMark/>
          </w:tcPr>
          <w:p w14:paraId="1A411EBF" w14:textId="77777777" w:rsidR="00ED31F1" w:rsidRPr="00A70CBE" w:rsidRDefault="00ED31F1" w:rsidP="000A6C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38" w:type="pct"/>
            <w:noWrap/>
            <w:vAlign w:val="center"/>
            <w:hideMark/>
          </w:tcPr>
          <w:p w14:paraId="4F454826" w14:textId="3199FC37" w:rsidR="00ED31F1" w:rsidRPr="00E27157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00" w:type="pct"/>
            <w:noWrap/>
            <w:vAlign w:val="center"/>
            <w:hideMark/>
          </w:tcPr>
          <w:p w14:paraId="2FEDAD93" w14:textId="35BFDD28" w:rsidR="00ED31F1" w:rsidRPr="00E27157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800" w:type="pct"/>
            <w:noWrap/>
            <w:vAlign w:val="center"/>
            <w:hideMark/>
          </w:tcPr>
          <w:p w14:paraId="4C28BD17" w14:textId="7667327F" w:rsidR="00ED31F1" w:rsidRPr="00E27157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753" w:type="pct"/>
            <w:noWrap/>
            <w:vAlign w:val="center"/>
            <w:hideMark/>
          </w:tcPr>
          <w:p w14:paraId="51EAE948" w14:textId="29D1DCE4" w:rsidR="00ED31F1" w:rsidRPr="00E27157" w:rsidRDefault="00ED31F1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3,1%</w:t>
            </w:r>
          </w:p>
        </w:tc>
      </w:tr>
    </w:tbl>
    <w:p w14:paraId="6C69679A" w14:textId="77777777" w:rsidR="00FA0ABD" w:rsidRDefault="00FA0ABD" w:rsidP="00896A4B">
      <w:pPr>
        <w:pStyle w:val="Titolo2"/>
        <w:rPr>
          <w:rFonts w:eastAsia="Times New Roman"/>
          <w:i/>
          <w:iCs/>
          <w:lang w:eastAsia="it-IT"/>
        </w:rPr>
      </w:pPr>
      <w:bookmarkStart w:id="17" w:name="_Toc25058697"/>
    </w:p>
    <w:p w14:paraId="1A6E6C81" w14:textId="77777777" w:rsidR="00FA0ABD" w:rsidRDefault="00FA0ABD">
      <w:pPr>
        <w:rPr>
          <w:rFonts w:ascii="Calibri" w:eastAsia="Times New Roman" w:hAnsi="Calibri" w:cstheme="majorBidi"/>
          <w:i/>
          <w:iCs/>
          <w:sz w:val="20"/>
          <w:szCs w:val="26"/>
          <w:lang w:eastAsia="it-IT"/>
        </w:rPr>
      </w:pPr>
      <w:r>
        <w:rPr>
          <w:rFonts w:eastAsia="Times New Roman"/>
          <w:i/>
          <w:iCs/>
          <w:lang w:eastAsia="it-IT"/>
        </w:rPr>
        <w:br w:type="page"/>
      </w:r>
    </w:p>
    <w:p w14:paraId="58D8C1E7" w14:textId="6888BC78" w:rsidR="0063187D" w:rsidRPr="00A70CBE" w:rsidRDefault="00A70CBE" w:rsidP="00896A4B">
      <w:pPr>
        <w:pStyle w:val="Titolo2"/>
        <w:rPr>
          <w:rFonts w:eastAsia="Times New Roman" w:cs="Times New Roman"/>
          <w:bCs/>
          <w:i/>
          <w:szCs w:val="18"/>
          <w:lang w:eastAsia="it-IT"/>
        </w:rPr>
      </w:pPr>
      <w:bookmarkStart w:id="18" w:name="_Toc64210250"/>
      <w:r w:rsidRPr="00A70CBE">
        <w:rPr>
          <w:rFonts w:eastAsia="Times New Roman"/>
          <w:i/>
          <w:iCs/>
          <w:lang w:eastAsia="it-IT"/>
        </w:rPr>
        <w:lastRenderedPageBreak/>
        <w:t>Tabella 6</w:t>
      </w:r>
      <w:r w:rsidRPr="00A70CBE">
        <w:rPr>
          <w:rFonts w:eastAsia="Times New Roman"/>
          <w:lang w:eastAsia="it-IT"/>
        </w:rPr>
        <w:t xml:space="preserve"> - Variazione percentuale 201</w:t>
      </w:r>
      <w:r w:rsidR="00E27157">
        <w:rPr>
          <w:rFonts w:eastAsia="Times New Roman"/>
          <w:lang w:eastAsia="it-IT"/>
        </w:rPr>
        <w:t>9</w:t>
      </w:r>
      <w:r w:rsidRPr="00A70CBE">
        <w:rPr>
          <w:rFonts w:eastAsia="Times New Roman"/>
          <w:lang w:eastAsia="it-IT"/>
        </w:rPr>
        <w:t xml:space="preserve"> su 201</w:t>
      </w:r>
      <w:r w:rsidR="00E27157">
        <w:rPr>
          <w:rFonts w:eastAsia="Times New Roman"/>
          <w:lang w:eastAsia="it-IT"/>
        </w:rPr>
        <w:t>8</w:t>
      </w:r>
      <w:r w:rsidRPr="00A70CBE">
        <w:rPr>
          <w:rFonts w:eastAsia="Times New Roman"/>
          <w:lang w:eastAsia="it-IT"/>
        </w:rPr>
        <w:t xml:space="preserve"> ricavi per </w:t>
      </w:r>
      <w:bookmarkEnd w:id="17"/>
      <w:r w:rsidR="00FA0ABD">
        <w:rPr>
          <w:rFonts w:eastAsia="Times New Roman"/>
          <w:lang w:eastAsia="it-IT"/>
        </w:rPr>
        <w:t>comparti industriali</w:t>
      </w:r>
      <w:bookmarkEnd w:id="18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2865"/>
        <w:gridCol w:w="1364"/>
        <w:gridCol w:w="1569"/>
        <w:gridCol w:w="1569"/>
        <w:gridCol w:w="1703"/>
      </w:tblGrid>
      <w:tr w:rsidR="00A70CBE" w:rsidRPr="00507B56" w14:paraId="0F09AD8C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9" w:type="pc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346F891A" w14:textId="064EC67E" w:rsidR="00D17EB8" w:rsidRPr="00507B56" w:rsidRDefault="00D17EB8" w:rsidP="00D17EB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752" w:type="pct"/>
            <w:shd w:val="clear" w:color="auto" w:fill="000099"/>
            <w:noWrap/>
            <w:vAlign w:val="center"/>
            <w:hideMark/>
          </w:tcPr>
          <w:p w14:paraId="35EB8901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0-2.000</w:t>
            </w:r>
          </w:p>
        </w:tc>
        <w:tc>
          <w:tcPr>
            <w:tcW w:w="865" w:type="pct"/>
            <w:shd w:val="clear" w:color="auto" w:fill="000099"/>
            <w:noWrap/>
            <w:vAlign w:val="center"/>
            <w:hideMark/>
          </w:tcPr>
          <w:p w14:paraId="27F3CE0C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865" w:type="pct"/>
            <w:shd w:val="clear" w:color="auto" w:fill="000099"/>
            <w:noWrap/>
            <w:vAlign w:val="center"/>
            <w:hideMark/>
          </w:tcPr>
          <w:p w14:paraId="4F345E4D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Più di 10.000</w:t>
            </w:r>
          </w:p>
        </w:tc>
        <w:tc>
          <w:tcPr>
            <w:tcW w:w="939" w:type="pct"/>
            <w:shd w:val="clear" w:color="auto" w:fill="000099"/>
            <w:noWrap/>
            <w:vAlign w:val="center"/>
            <w:hideMark/>
          </w:tcPr>
          <w:p w14:paraId="271295CD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Totale</w:t>
            </w:r>
          </w:p>
        </w:tc>
      </w:tr>
      <w:tr w:rsidR="006D38BA" w:rsidRPr="000A6C85" w14:paraId="2D6ADC3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1537FB2" w14:textId="5C38E1A4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568D1A" w14:textId="4399644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701C8D" w14:textId="51759029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042736" w14:textId="74360A6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461223A" w14:textId="3B7CD45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6D38BA" w:rsidRPr="000A6C85" w14:paraId="2CA6098E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4EF584CF" w14:textId="4BC8BB1F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752" w:type="pct"/>
            <w:noWrap/>
            <w:vAlign w:val="center"/>
            <w:hideMark/>
          </w:tcPr>
          <w:p w14:paraId="3BF4D3CA" w14:textId="661CAA04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65" w:type="pct"/>
            <w:noWrap/>
            <w:vAlign w:val="center"/>
            <w:hideMark/>
          </w:tcPr>
          <w:p w14:paraId="3A6DB703" w14:textId="1EB37A8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865" w:type="pct"/>
            <w:noWrap/>
            <w:vAlign w:val="center"/>
            <w:hideMark/>
          </w:tcPr>
          <w:p w14:paraId="1E12C4A2" w14:textId="624121A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-1,2%</w:t>
            </w:r>
          </w:p>
        </w:tc>
        <w:tc>
          <w:tcPr>
            <w:tcW w:w="939" w:type="pct"/>
            <w:noWrap/>
            <w:vAlign w:val="center"/>
            <w:hideMark/>
          </w:tcPr>
          <w:p w14:paraId="510E4CD3" w14:textId="16A7A001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-0,8%</w:t>
            </w:r>
          </w:p>
        </w:tc>
      </w:tr>
      <w:tr w:rsidR="006D38BA" w:rsidRPr="000A6C85" w14:paraId="579E223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8C94A53" w14:textId="3FD319EC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D3545C4" w14:textId="4345EDB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-1,3%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FC25488" w14:textId="2B656F9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-3,0%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D31C790" w14:textId="5C76A4B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9C1B734" w14:textId="66382EE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4,5%</w:t>
            </w:r>
          </w:p>
        </w:tc>
      </w:tr>
      <w:tr w:rsidR="006D38BA" w:rsidRPr="000A6C85" w14:paraId="11DFD6AF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6892F656" w14:textId="3EDC8DE8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752" w:type="pct"/>
            <w:noWrap/>
            <w:vAlign w:val="center"/>
            <w:hideMark/>
          </w:tcPr>
          <w:p w14:paraId="69012C16" w14:textId="062F696A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65" w:type="pct"/>
            <w:noWrap/>
            <w:vAlign w:val="center"/>
            <w:hideMark/>
          </w:tcPr>
          <w:p w14:paraId="6D0548F1" w14:textId="65DE624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65" w:type="pct"/>
            <w:noWrap/>
            <w:vAlign w:val="center"/>
            <w:hideMark/>
          </w:tcPr>
          <w:p w14:paraId="7ECC368A" w14:textId="5EE4AA3A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939" w:type="pct"/>
            <w:noWrap/>
            <w:vAlign w:val="center"/>
            <w:hideMark/>
          </w:tcPr>
          <w:p w14:paraId="7B554909" w14:textId="4E5F0EBF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</w:tr>
      <w:tr w:rsidR="006D38BA" w:rsidRPr="000A6C85" w14:paraId="184744E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33BA727" w14:textId="6CDC6B8A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2886A1F" w14:textId="494DF32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-1,8%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65BF0C4" w14:textId="23B29BC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0307050" w14:textId="67D95FD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D51701F" w14:textId="009155A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</w:tr>
      <w:tr w:rsidR="006D38BA" w:rsidRPr="000A6C85" w14:paraId="0B7B59C5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012B52E0" w14:textId="7AF49F21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752" w:type="pct"/>
            <w:noWrap/>
            <w:vAlign w:val="center"/>
            <w:hideMark/>
          </w:tcPr>
          <w:p w14:paraId="7616FFA3" w14:textId="18C9AD8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-2,4%</w:t>
            </w:r>
          </w:p>
        </w:tc>
        <w:tc>
          <w:tcPr>
            <w:tcW w:w="865" w:type="pct"/>
            <w:noWrap/>
            <w:vAlign w:val="center"/>
            <w:hideMark/>
          </w:tcPr>
          <w:p w14:paraId="6B5A0D1F" w14:textId="2D115B4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865" w:type="pct"/>
            <w:noWrap/>
            <w:vAlign w:val="center"/>
            <w:hideMark/>
          </w:tcPr>
          <w:p w14:paraId="78B63BD8" w14:textId="1C9CDC1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939" w:type="pct"/>
            <w:noWrap/>
            <w:vAlign w:val="center"/>
            <w:hideMark/>
          </w:tcPr>
          <w:p w14:paraId="0222C8BB" w14:textId="42BD604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6D38BA" w:rsidRPr="000A6C85" w14:paraId="72A1CC2F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62F9803" w14:textId="5EEA8B1E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AE77376" w14:textId="47782E4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45524A" w14:textId="75F82DD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-0,7%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A72CFED" w14:textId="21C9DD5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9,0%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19F9847" w14:textId="1E882C09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6D38BA" w:rsidRPr="000A6C85" w14:paraId="74622AEC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44231299" w14:textId="6A517C8B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752" w:type="pct"/>
            <w:noWrap/>
            <w:vAlign w:val="center"/>
            <w:hideMark/>
          </w:tcPr>
          <w:p w14:paraId="108D443D" w14:textId="5F0FC3E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865" w:type="pct"/>
            <w:noWrap/>
            <w:vAlign w:val="center"/>
            <w:hideMark/>
          </w:tcPr>
          <w:p w14:paraId="167F84AC" w14:textId="4F3A62A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865" w:type="pct"/>
            <w:noWrap/>
            <w:vAlign w:val="center"/>
            <w:hideMark/>
          </w:tcPr>
          <w:p w14:paraId="351169EA" w14:textId="1AC89C4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-4,1%</w:t>
            </w:r>
          </w:p>
        </w:tc>
        <w:tc>
          <w:tcPr>
            <w:tcW w:w="939" w:type="pct"/>
            <w:noWrap/>
            <w:vAlign w:val="center"/>
            <w:hideMark/>
          </w:tcPr>
          <w:p w14:paraId="78190F05" w14:textId="48C0C5AC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-3,7%</w:t>
            </w:r>
          </w:p>
        </w:tc>
      </w:tr>
      <w:tr w:rsidR="006D38BA" w:rsidRPr="000A6C85" w14:paraId="36096D8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515A687" w14:textId="1D3760D7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AA2808D" w14:textId="1FE68C3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-2,0%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2A96A3" w14:textId="6A324E46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E1B6E5" w14:textId="2525CCF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9323434" w14:textId="35C258A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</w:tr>
      <w:tr w:rsidR="006D38BA" w:rsidRPr="000A6C85" w14:paraId="3893DA71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22BBCE8E" w14:textId="1757C8D0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752" w:type="pct"/>
            <w:noWrap/>
            <w:vAlign w:val="center"/>
            <w:hideMark/>
          </w:tcPr>
          <w:p w14:paraId="19EFD064" w14:textId="1338ABB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-4,3%</w:t>
            </w:r>
          </w:p>
        </w:tc>
        <w:tc>
          <w:tcPr>
            <w:tcW w:w="865" w:type="pct"/>
            <w:noWrap/>
            <w:vAlign w:val="center"/>
            <w:hideMark/>
          </w:tcPr>
          <w:p w14:paraId="201A45A7" w14:textId="70B747B1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865" w:type="pct"/>
            <w:noWrap/>
            <w:vAlign w:val="center"/>
            <w:hideMark/>
          </w:tcPr>
          <w:p w14:paraId="2AEEC96C" w14:textId="1A05D7A6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-3,0%</w:t>
            </w:r>
          </w:p>
        </w:tc>
        <w:tc>
          <w:tcPr>
            <w:tcW w:w="939" w:type="pct"/>
            <w:noWrap/>
            <w:vAlign w:val="center"/>
            <w:hideMark/>
          </w:tcPr>
          <w:p w14:paraId="25B1FF17" w14:textId="351347E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-2,8%</w:t>
            </w:r>
          </w:p>
        </w:tc>
      </w:tr>
      <w:tr w:rsidR="006D38BA" w:rsidRPr="000A6C85" w14:paraId="5429D916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2FE6A9" w14:textId="5983C718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7B0B16C" w14:textId="4ED4FBB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0932F68" w14:textId="44AA59A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-1,1%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98EAB4E" w14:textId="55AD292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14EB95C" w14:textId="1A9E0F1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0,8%</w:t>
            </w:r>
          </w:p>
        </w:tc>
      </w:tr>
      <w:tr w:rsidR="006D38BA" w:rsidRPr="000A6C85" w14:paraId="6C52D87C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6479F296" w14:textId="6E8C100C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752" w:type="pct"/>
            <w:noWrap/>
            <w:vAlign w:val="center"/>
            <w:hideMark/>
          </w:tcPr>
          <w:p w14:paraId="355C5D47" w14:textId="3DC683B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-1,0%</w:t>
            </w:r>
          </w:p>
        </w:tc>
        <w:tc>
          <w:tcPr>
            <w:tcW w:w="865" w:type="pct"/>
            <w:noWrap/>
            <w:vAlign w:val="center"/>
            <w:hideMark/>
          </w:tcPr>
          <w:p w14:paraId="33733F24" w14:textId="240D62D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865" w:type="pct"/>
            <w:noWrap/>
            <w:vAlign w:val="center"/>
            <w:hideMark/>
          </w:tcPr>
          <w:p w14:paraId="674A1374" w14:textId="18574AFE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6,8%</w:t>
            </w:r>
          </w:p>
        </w:tc>
        <w:tc>
          <w:tcPr>
            <w:tcW w:w="939" w:type="pct"/>
            <w:noWrap/>
            <w:vAlign w:val="center"/>
            <w:hideMark/>
          </w:tcPr>
          <w:p w14:paraId="1FD93F01" w14:textId="4D609E4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</w:tr>
      <w:tr w:rsidR="006D38BA" w:rsidRPr="000A6C85" w14:paraId="5C0571E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148060E" w14:textId="43262DFE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Metallurgia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1D2E6B" w14:textId="4F909A7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-4,1%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18A5E7E" w14:textId="107B9B4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-1,4%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457D448" w14:textId="24CE3B1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-4,5%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87783BB" w14:textId="0453A66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-3,9%</w:t>
            </w:r>
          </w:p>
        </w:tc>
      </w:tr>
      <w:tr w:rsidR="006D38BA" w:rsidRPr="000A6C85" w14:paraId="5575B78A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57EF8402" w14:textId="08A38882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752" w:type="pct"/>
            <w:noWrap/>
            <w:vAlign w:val="center"/>
            <w:hideMark/>
          </w:tcPr>
          <w:p w14:paraId="1AA81972" w14:textId="331F158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-0,7%</w:t>
            </w:r>
          </w:p>
        </w:tc>
        <w:tc>
          <w:tcPr>
            <w:tcW w:w="865" w:type="pct"/>
            <w:noWrap/>
            <w:vAlign w:val="center"/>
            <w:hideMark/>
          </w:tcPr>
          <w:p w14:paraId="3DE4E04A" w14:textId="243B00E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-0,3%</w:t>
            </w:r>
          </w:p>
        </w:tc>
        <w:tc>
          <w:tcPr>
            <w:tcW w:w="865" w:type="pct"/>
            <w:noWrap/>
            <w:vAlign w:val="center"/>
            <w:hideMark/>
          </w:tcPr>
          <w:p w14:paraId="107D415D" w14:textId="2688440A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939" w:type="pct"/>
            <w:noWrap/>
            <w:vAlign w:val="center"/>
            <w:hideMark/>
          </w:tcPr>
          <w:p w14:paraId="30415564" w14:textId="25D4029E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</w:tr>
      <w:tr w:rsidR="006D38BA" w:rsidRPr="000A6C85" w14:paraId="6C2A061B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00F1DA6" w14:textId="3B2F09E5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EF12E16" w14:textId="1604C47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581F875" w14:textId="373DDBE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6255AB9" w14:textId="1DE3CA6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164A37" w14:textId="03ACF7F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3,2%</w:t>
            </w:r>
          </w:p>
        </w:tc>
      </w:tr>
      <w:tr w:rsidR="006D38BA" w:rsidRPr="000A6C85" w14:paraId="5F8DD5D2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233929C1" w14:textId="64B84DFB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752" w:type="pct"/>
            <w:noWrap/>
            <w:vAlign w:val="center"/>
            <w:hideMark/>
          </w:tcPr>
          <w:p w14:paraId="630392F9" w14:textId="19C7B0E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65" w:type="pct"/>
            <w:noWrap/>
            <w:vAlign w:val="center"/>
            <w:hideMark/>
          </w:tcPr>
          <w:p w14:paraId="1B2A4DB3" w14:textId="0340FE5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-0,6%</w:t>
            </w:r>
          </w:p>
        </w:tc>
        <w:tc>
          <w:tcPr>
            <w:tcW w:w="865" w:type="pct"/>
            <w:noWrap/>
            <w:vAlign w:val="center"/>
            <w:hideMark/>
          </w:tcPr>
          <w:p w14:paraId="40F38D71" w14:textId="51278CC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939" w:type="pct"/>
            <w:noWrap/>
            <w:vAlign w:val="center"/>
            <w:hideMark/>
          </w:tcPr>
          <w:p w14:paraId="5A85F17B" w14:textId="06FA0DE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6,2%</w:t>
            </w:r>
          </w:p>
        </w:tc>
      </w:tr>
      <w:tr w:rsidR="006D38BA" w:rsidRPr="000A6C85" w14:paraId="611AC2F3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F50C6D5" w14:textId="1588A61A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8E8C8A6" w14:textId="200D3C5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5665807" w14:textId="2B0DFD9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24BE892" w14:textId="0C67961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52615AF" w14:textId="118DBDA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</w:tr>
      <w:tr w:rsidR="006D38BA" w:rsidRPr="000A6C85" w14:paraId="52D06490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5AB5BF17" w14:textId="0B57E0A5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752" w:type="pct"/>
            <w:noWrap/>
            <w:vAlign w:val="center"/>
            <w:hideMark/>
          </w:tcPr>
          <w:p w14:paraId="0970B4E5" w14:textId="1EF6BD6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865" w:type="pct"/>
            <w:noWrap/>
            <w:vAlign w:val="center"/>
            <w:hideMark/>
          </w:tcPr>
          <w:p w14:paraId="43D85902" w14:textId="1F8E4CA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865" w:type="pct"/>
            <w:noWrap/>
            <w:vAlign w:val="center"/>
            <w:hideMark/>
          </w:tcPr>
          <w:p w14:paraId="5DDB74D2" w14:textId="221A8054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-5,2%</w:t>
            </w:r>
          </w:p>
        </w:tc>
        <w:tc>
          <w:tcPr>
            <w:tcW w:w="939" w:type="pct"/>
            <w:noWrap/>
            <w:vAlign w:val="center"/>
            <w:hideMark/>
          </w:tcPr>
          <w:p w14:paraId="471D86FD" w14:textId="0ED9C0A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-3,6%</w:t>
            </w:r>
          </w:p>
        </w:tc>
      </w:tr>
      <w:tr w:rsidR="006D38BA" w:rsidRPr="000A6C85" w14:paraId="191608D0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FAEBB2F" w14:textId="6C624923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4FCFDF" w14:textId="5533599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9E650AA" w14:textId="6193D97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3B15B82" w14:textId="26A3127B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26,0%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6104438" w14:textId="4253400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17,4%</w:t>
            </w:r>
          </w:p>
        </w:tc>
      </w:tr>
      <w:tr w:rsidR="006D38BA" w:rsidRPr="000A6C85" w14:paraId="5E364793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7D5CDFB0" w14:textId="45AA84D4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752" w:type="pct"/>
            <w:noWrap/>
            <w:vAlign w:val="center"/>
            <w:hideMark/>
          </w:tcPr>
          <w:p w14:paraId="6EFE51C1" w14:textId="758E4D1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865" w:type="pct"/>
            <w:noWrap/>
            <w:vAlign w:val="center"/>
            <w:hideMark/>
          </w:tcPr>
          <w:p w14:paraId="2D934BD4" w14:textId="122A31C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-2,0%</w:t>
            </w:r>
          </w:p>
        </w:tc>
        <w:tc>
          <w:tcPr>
            <w:tcW w:w="865" w:type="pct"/>
            <w:noWrap/>
            <w:vAlign w:val="center"/>
            <w:hideMark/>
          </w:tcPr>
          <w:p w14:paraId="06D0E174" w14:textId="57AFE38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9,2%</w:t>
            </w:r>
          </w:p>
        </w:tc>
        <w:tc>
          <w:tcPr>
            <w:tcW w:w="939" w:type="pct"/>
            <w:noWrap/>
            <w:vAlign w:val="center"/>
            <w:hideMark/>
          </w:tcPr>
          <w:p w14:paraId="1665E607" w14:textId="48EA6F46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</w:tr>
      <w:tr w:rsidR="006D38BA" w:rsidRPr="000A6C85" w14:paraId="2A252974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64B29C" w14:textId="2BF60FB0" w:rsidR="006D38BA" w:rsidRPr="00A70CBE" w:rsidRDefault="006D38BA" w:rsidP="000A6C8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75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924ED34" w14:textId="118807D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-0,3%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8ACB843" w14:textId="78390DB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  <w:tc>
          <w:tcPr>
            <w:tcW w:w="865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525AA0B" w14:textId="0BE3D3B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10,9%</w:t>
            </w:r>
          </w:p>
        </w:tc>
        <w:tc>
          <w:tcPr>
            <w:tcW w:w="939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0F961AD" w14:textId="4F2F3B3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6,6%</w:t>
            </w:r>
          </w:p>
        </w:tc>
      </w:tr>
      <w:tr w:rsidR="006D38BA" w:rsidRPr="00A70CBE" w14:paraId="26B89598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pct"/>
            <w:tcBorders>
              <w:right w:val="none" w:sz="0" w:space="0" w:color="auto"/>
            </w:tcBorders>
            <w:vAlign w:val="center"/>
            <w:hideMark/>
          </w:tcPr>
          <w:p w14:paraId="6EB40780" w14:textId="29503E07" w:rsidR="006D38BA" w:rsidRPr="00A70CBE" w:rsidRDefault="006D38BA" w:rsidP="000A6C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52" w:type="pct"/>
            <w:noWrap/>
            <w:vAlign w:val="center"/>
            <w:hideMark/>
          </w:tcPr>
          <w:p w14:paraId="0B90BAD4" w14:textId="0502F01A" w:rsidR="006D38BA" w:rsidRPr="00E27157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-0,3%</w:t>
            </w:r>
          </w:p>
        </w:tc>
        <w:tc>
          <w:tcPr>
            <w:tcW w:w="865" w:type="pct"/>
            <w:noWrap/>
            <w:vAlign w:val="center"/>
            <w:hideMark/>
          </w:tcPr>
          <w:p w14:paraId="4A5C1E46" w14:textId="10574225" w:rsidR="006D38BA" w:rsidRPr="00E27157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865" w:type="pct"/>
            <w:noWrap/>
            <w:vAlign w:val="center"/>
            <w:hideMark/>
          </w:tcPr>
          <w:p w14:paraId="4B02334E" w14:textId="23B48762" w:rsidR="006D38BA" w:rsidRPr="00E27157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939" w:type="pct"/>
            <w:noWrap/>
            <w:vAlign w:val="center"/>
            <w:hideMark/>
          </w:tcPr>
          <w:p w14:paraId="2E7702F1" w14:textId="0F937621" w:rsidR="006D38BA" w:rsidRPr="00E27157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1,8%</w:t>
            </w:r>
          </w:p>
        </w:tc>
      </w:tr>
    </w:tbl>
    <w:p w14:paraId="46914D99" w14:textId="77777777" w:rsidR="00FA0ABD" w:rsidRDefault="00FA0ABD" w:rsidP="00B76E99">
      <w:pPr>
        <w:pStyle w:val="Titolo2"/>
        <w:rPr>
          <w:i/>
        </w:rPr>
      </w:pPr>
    </w:p>
    <w:p w14:paraId="65B4B680" w14:textId="77777777" w:rsidR="00FA0ABD" w:rsidRDefault="00FA0ABD">
      <w:pPr>
        <w:rPr>
          <w:rFonts w:ascii="Calibri" w:eastAsiaTheme="majorEastAsia" w:hAnsi="Calibri" w:cstheme="majorBidi"/>
          <w:i/>
          <w:sz w:val="20"/>
          <w:szCs w:val="26"/>
        </w:rPr>
      </w:pPr>
      <w:r>
        <w:rPr>
          <w:i/>
        </w:rPr>
        <w:br w:type="page"/>
      </w:r>
    </w:p>
    <w:p w14:paraId="170CA68F" w14:textId="6BAD0D6B" w:rsidR="0063187D" w:rsidRPr="00A70CBE" w:rsidRDefault="00A70CBE" w:rsidP="00B76E99">
      <w:pPr>
        <w:pStyle w:val="Titolo2"/>
        <w:rPr>
          <w:rFonts w:eastAsia="Times New Roman"/>
          <w:sz w:val="18"/>
          <w:szCs w:val="16"/>
          <w:lang w:eastAsia="it-IT"/>
        </w:rPr>
      </w:pPr>
      <w:bookmarkStart w:id="19" w:name="_Toc64210251"/>
      <w:r w:rsidRPr="00A70CBE">
        <w:rPr>
          <w:i/>
        </w:rPr>
        <w:lastRenderedPageBreak/>
        <w:t>Tabella 7</w:t>
      </w:r>
      <w:r w:rsidR="00E27157">
        <w:t xml:space="preserve"> - Variazione percentuale 2019</w:t>
      </w:r>
      <w:r w:rsidRPr="00A70CBE">
        <w:t xml:space="preserve"> su 201</w:t>
      </w:r>
      <w:r w:rsidR="00E27157">
        <w:t>8</w:t>
      </w:r>
      <w:r w:rsidRPr="00A70CBE">
        <w:t xml:space="preserve"> valore della produzione per </w:t>
      </w:r>
      <w:r w:rsidR="00C94B82">
        <w:rPr>
          <w:rFonts w:eastAsia="Times New Roman"/>
          <w:lang w:eastAsia="it-IT"/>
        </w:rPr>
        <w:t>comparti industriali</w:t>
      </w:r>
      <w:bookmarkEnd w:id="19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3093"/>
        <w:gridCol w:w="1428"/>
        <w:gridCol w:w="1547"/>
        <w:gridCol w:w="1547"/>
        <w:gridCol w:w="1455"/>
      </w:tblGrid>
      <w:tr w:rsidR="00A70CBE" w:rsidRPr="00507B56" w14:paraId="0DFF05CD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5" w:type="pc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72C1FF1B" w14:textId="1A798331" w:rsidR="00D17EB8" w:rsidRPr="00507B56" w:rsidRDefault="00D17EB8" w:rsidP="00D17EB8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787" w:type="pct"/>
            <w:shd w:val="clear" w:color="auto" w:fill="000099"/>
            <w:noWrap/>
            <w:vAlign w:val="center"/>
            <w:hideMark/>
          </w:tcPr>
          <w:p w14:paraId="1764B3BC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0-2.000</w:t>
            </w:r>
          </w:p>
        </w:tc>
        <w:tc>
          <w:tcPr>
            <w:tcW w:w="853" w:type="pct"/>
            <w:shd w:val="clear" w:color="auto" w:fill="000099"/>
            <w:noWrap/>
            <w:vAlign w:val="center"/>
            <w:hideMark/>
          </w:tcPr>
          <w:p w14:paraId="0D4FEFC4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853" w:type="pct"/>
            <w:shd w:val="clear" w:color="auto" w:fill="000099"/>
            <w:noWrap/>
            <w:vAlign w:val="center"/>
            <w:hideMark/>
          </w:tcPr>
          <w:p w14:paraId="4EADFC15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Più di 10.000</w:t>
            </w:r>
          </w:p>
        </w:tc>
        <w:tc>
          <w:tcPr>
            <w:tcW w:w="802" w:type="pct"/>
            <w:shd w:val="clear" w:color="auto" w:fill="000099"/>
            <w:noWrap/>
            <w:vAlign w:val="center"/>
            <w:hideMark/>
          </w:tcPr>
          <w:p w14:paraId="03AC8F38" w14:textId="77777777" w:rsidR="00D17EB8" w:rsidRPr="000875D9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</w:pPr>
            <w:r w:rsidRPr="000875D9">
              <w:rPr>
                <w:rFonts w:ascii="Calibri" w:eastAsia="Times New Roman" w:hAnsi="Calibri" w:cs="Calibri"/>
                <w:caps/>
                <w:sz w:val="20"/>
                <w:szCs w:val="20"/>
                <w:lang w:eastAsia="it-IT"/>
              </w:rPr>
              <w:t>Totale</w:t>
            </w:r>
          </w:p>
        </w:tc>
      </w:tr>
      <w:tr w:rsidR="006D38BA" w:rsidRPr="000A6C85" w14:paraId="7177D64B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B8E54A1" w14:textId="0E2D4C14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E515F14" w14:textId="3D958510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B9841E" w14:textId="2DAB50C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0E447E" w14:textId="79AE8BC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8668E8F" w14:textId="591814A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1,7%</w:t>
            </w:r>
          </w:p>
        </w:tc>
      </w:tr>
      <w:tr w:rsidR="006D38BA" w:rsidRPr="000A6C85" w14:paraId="0002BDD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7ACB56F3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787" w:type="pct"/>
            <w:noWrap/>
            <w:vAlign w:val="center"/>
            <w:hideMark/>
          </w:tcPr>
          <w:p w14:paraId="65D3AAA7" w14:textId="4500EE0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53" w:type="pct"/>
            <w:noWrap/>
            <w:vAlign w:val="center"/>
            <w:hideMark/>
          </w:tcPr>
          <w:p w14:paraId="0446A49C" w14:textId="473F541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-0,6%</w:t>
            </w:r>
          </w:p>
        </w:tc>
        <w:tc>
          <w:tcPr>
            <w:tcW w:w="853" w:type="pct"/>
            <w:noWrap/>
            <w:vAlign w:val="center"/>
            <w:hideMark/>
          </w:tcPr>
          <w:p w14:paraId="2525A347" w14:textId="5A4FC06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-2,6%</w:t>
            </w:r>
          </w:p>
        </w:tc>
        <w:tc>
          <w:tcPr>
            <w:tcW w:w="802" w:type="pct"/>
            <w:noWrap/>
            <w:vAlign w:val="center"/>
            <w:hideMark/>
          </w:tcPr>
          <w:p w14:paraId="2FF5B3E2" w14:textId="169845C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-1,4%</w:t>
            </w:r>
          </w:p>
        </w:tc>
      </w:tr>
      <w:tr w:rsidR="006D38BA" w:rsidRPr="000A6C85" w14:paraId="535F856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438D72B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A330BE" w14:textId="753754E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-1,4%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919919" w14:textId="030B7C8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-3,1%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AAB3E08" w14:textId="2663EAB0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778CC1" w14:textId="44410A93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</w:tr>
      <w:tr w:rsidR="006D38BA" w:rsidRPr="000A6C85" w14:paraId="69A21E39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128DB097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787" w:type="pct"/>
            <w:noWrap/>
            <w:vAlign w:val="center"/>
            <w:hideMark/>
          </w:tcPr>
          <w:p w14:paraId="60BC411C" w14:textId="36A3274C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53" w:type="pct"/>
            <w:noWrap/>
            <w:vAlign w:val="center"/>
            <w:hideMark/>
          </w:tcPr>
          <w:p w14:paraId="311AA81D" w14:textId="7F7A0E76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53" w:type="pct"/>
            <w:noWrap/>
            <w:vAlign w:val="center"/>
            <w:hideMark/>
          </w:tcPr>
          <w:p w14:paraId="66B02B50" w14:textId="296E08DF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802" w:type="pct"/>
            <w:noWrap/>
            <w:vAlign w:val="center"/>
            <w:hideMark/>
          </w:tcPr>
          <w:p w14:paraId="0F7A808B" w14:textId="138EA25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5,6%</w:t>
            </w:r>
          </w:p>
        </w:tc>
      </w:tr>
      <w:tr w:rsidR="006D38BA" w:rsidRPr="000A6C85" w14:paraId="7E900D6F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B6E66B9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5677DE8" w14:textId="22D96CE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-2,0%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E55F7B0" w14:textId="204FCED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0BDC94" w14:textId="40DC14C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919D1BD" w14:textId="5091095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1,4%</w:t>
            </w:r>
          </w:p>
        </w:tc>
      </w:tr>
      <w:tr w:rsidR="006D38BA" w:rsidRPr="000A6C85" w14:paraId="7DFDD47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776049FE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787" w:type="pct"/>
            <w:noWrap/>
            <w:vAlign w:val="center"/>
            <w:hideMark/>
          </w:tcPr>
          <w:p w14:paraId="44037A0D" w14:textId="56DC392C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-2,3%</w:t>
            </w:r>
          </w:p>
        </w:tc>
        <w:tc>
          <w:tcPr>
            <w:tcW w:w="853" w:type="pct"/>
            <w:noWrap/>
            <w:vAlign w:val="center"/>
            <w:hideMark/>
          </w:tcPr>
          <w:p w14:paraId="546E2A66" w14:textId="261CA60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853" w:type="pct"/>
            <w:noWrap/>
            <w:vAlign w:val="center"/>
            <w:hideMark/>
          </w:tcPr>
          <w:p w14:paraId="215D778E" w14:textId="5428BBD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802" w:type="pct"/>
            <w:noWrap/>
            <w:vAlign w:val="center"/>
            <w:hideMark/>
          </w:tcPr>
          <w:p w14:paraId="19C036AA" w14:textId="5847FCC1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1,7%</w:t>
            </w:r>
          </w:p>
        </w:tc>
      </w:tr>
      <w:tr w:rsidR="006D38BA" w:rsidRPr="000A6C85" w14:paraId="3E84AB5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DCC1E91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ABD4B9B" w14:textId="2843774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B0A7C94" w14:textId="075BBB16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-0,8%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C5A42F5" w14:textId="5253A07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C7A153" w14:textId="6DBCD61E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1,7%</w:t>
            </w:r>
          </w:p>
        </w:tc>
      </w:tr>
      <w:tr w:rsidR="006D38BA" w:rsidRPr="000A6C85" w14:paraId="47F9BA5C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02AE1FAC" w14:textId="68149D6C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787" w:type="pct"/>
            <w:noWrap/>
            <w:vAlign w:val="center"/>
            <w:hideMark/>
          </w:tcPr>
          <w:p w14:paraId="6D01AEA5" w14:textId="42F5C951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3,8%</w:t>
            </w:r>
          </w:p>
        </w:tc>
        <w:tc>
          <w:tcPr>
            <w:tcW w:w="853" w:type="pct"/>
            <w:noWrap/>
            <w:vAlign w:val="center"/>
            <w:hideMark/>
          </w:tcPr>
          <w:p w14:paraId="7495F3BD" w14:textId="29FE91FC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853" w:type="pct"/>
            <w:noWrap/>
            <w:vAlign w:val="center"/>
            <w:hideMark/>
          </w:tcPr>
          <w:p w14:paraId="37B49DE9" w14:textId="1691A27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-2,6%</w:t>
            </w:r>
          </w:p>
        </w:tc>
        <w:tc>
          <w:tcPr>
            <w:tcW w:w="802" w:type="pct"/>
            <w:noWrap/>
            <w:vAlign w:val="center"/>
            <w:hideMark/>
          </w:tcPr>
          <w:p w14:paraId="271ABE0D" w14:textId="21A7E09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-2,3%</w:t>
            </w:r>
          </w:p>
        </w:tc>
      </w:tr>
      <w:tr w:rsidR="006D38BA" w:rsidRPr="000A6C85" w14:paraId="07EF266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26F39C1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0079541" w14:textId="4B10589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-1,8%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DF5A6EC" w14:textId="10D8234B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4116A14" w14:textId="6BFC13B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B1F3989" w14:textId="236CBFD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</w:tr>
      <w:tr w:rsidR="006D38BA" w:rsidRPr="000A6C85" w14:paraId="35B71DD0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7CA1B50D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787" w:type="pct"/>
            <w:noWrap/>
            <w:vAlign w:val="center"/>
            <w:hideMark/>
          </w:tcPr>
          <w:p w14:paraId="62ABC049" w14:textId="26528078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853" w:type="pct"/>
            <w:noWrap/>
            <w:vAlign w:val="center"/>
            <w:hideMark/>
          </w:tcPr>
          <w:p w14:paraId="71FCA76E" w14:textId="02F131A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-6,3%</w:t>
            </w:r>
          </w:p>
        </w:tc>
        <w:tc>
          <w:tcPr>
            <w:tcW w:w="853" w:type="pct"/>
            <w:noWrap/>
            <w:vAlign w:val="center"/>
            <w:hideMark/>
          </w:tcPr>
          <w:p w14:paraId="04B00AEB" w14:textId="030EAFA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-3,7%</w:t>
            </w:r>
          </w:p>
        </w:tc>
        <w:tc>
          <w:tcPr>
            <w:tcW w:w="802" w:type="pct"/>
            <w:noWrap/>
            <w:vAlign w:val="center"/>
            <w:hideMark/>
          </w:tcPr>
          <w:p w14:paraId="709F98D5" w14:textId="043F75F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-3,8%</w:t>
            </w:r>
          </w:p>
        </w:tc>
      </w:tr>
      <w:tr w:rsidR="006D38BA" w:rsidRPr="000A6C85" w14:paraId="7F08C40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CFF86E9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1E76407" w14:textId="3FF64A1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-0,2%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4F509AE" w14:textId="4DBAC36F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-0,9%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7812756" w14:textId="3C8BDB44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0CEF7E4" w14:textId="0C46A902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</w:tr>
      <w:tr w:rsidR="006D38BA" w:rsidRPr="000A6C85" w14:paraId="69F338E7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0E548D4C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787" w:type="pct"/>
            <w:noWrap/>
            <w:vAlign w:val="center"/>
            <w:hideMark/>
          </w:tcPr>
          <w:p w14:paraId="5CBD46CB" w14:textId="44D34D9E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-1,3%</w:t>
            </w:r>
          </w:p>
        </w:tc>
        <w:tc>
          <w:tcPr>
            <w:tcW w:w="853" w:type="pct"/>
            <w:noWrap/>
            <w:vAlign w:val="center"/>
            <w:hideMark/>
          </w:tcPr>
          <w:p w14:paraId="6451BDB3" w14:textId="62C337B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0,8%</w:t>
            </w:r>
          </w:p>
        </w:tc>
        <w:tc>
          <w:tcPr>
            <w:tcW w:w="853" w:type="pct"/>
            <w:noWrap/>
            <w:vAlign w:val="center"/>
            <w:hideMark/>
          </w:tcPr>
          <w:p w14:paraId="2EE761B5" w14:textId="0FC743E9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6,0%</w:t>
            </w:r>
          </w:p>
        </w:tc>
        <w:tc>
          <w:tcPr>
            <w:tcW w:w="802" w:type="pct"/>
            <w:noWrap/>
            <w:vAlign w:val="center"/>
            <w:hideMark/>
          </w:tcPr>
          <w:p w14:paraId="7D9C22E2" w14:textId="0A85AEE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6D38BA" w:rsidRPr="000A6C85" w14:paraId="2BE52C0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2DAD90D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Metallurgia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0C5871D" w14:textId="2DB12B6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-8,4%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4DD30A4" w14:textId="647DF22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-1,0%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9FB389" w14:textId="2B462E0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-4,8%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DB74BD5" w14:textId="1F589F5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-4,2%</w:t>
            </w:r>
          </w:p>
        </w:tc>
      </w:tr>
      <w:tr w:rsidR="006D38BA" w:rsidRPr="000A6C85" w14:paraId="368D098B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11D6057F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787" w:type="pct"/>
            <w:noWrap/>
            <w:vAlign w:val="center"/>
            <w:hideMark/>
          </w:tcPr>
          <w:p w14:paraId="5A9D9886" w14:textId="17D61180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-0,4%</w:t>
            </w:r>
          </w:p>
        </w:tc>
        <w:tc>
          <w:tcPr>
            <w:tcW w:w="853" w:type="pct"/>
            <w:noWrap/>
            <w:vAlign w:val="center"/>
            <w:hideMark/>
          </w:tcPr>
          <w:p w14:paraId="6AF14024" w14:textId="220F7B85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-0,2%</w:t>
            </w:r>
          </w:p>
        </w:tc>
        <w:tc>
          <w:tcPr>
            <w:tcW w:w="853" w:type="pct"/>
            <w:noWrap/>
            <w:vAlign w:val="center"/>
            <w:hideMark/>
          </w:tcPr>
          <w:p w14:paraId="4436A1C2" w14:textId="41DC0B26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02" w:type="pct"/>
            <w:noWrap/>
            <w:vAlign w:val="center"/>
            <w:hideMark/>
          </w:tcPr>
          <w:p w14:paraId="7EE872E7" w14:textId="0DA76D4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</w:tr>
      <w:tr w:rsidR="006D38BA" w:rsidRPr="000A6C85" w14:paraId="35A3CC0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BB3FCA0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2EF6BE1" w14:textId="34AB172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60A63D7" w14:textId="7FCC538C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1,0%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7A5056C" w14:textId="20044A10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0CDE3AA" w14:textId="30F0FB9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</w:tr>
      <w:tr w:rsidR="006D38BA" w:rsidRPr="000A6C85" w14:paraId="4D75641F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67D6BECB" w14:textId="79E828C6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787" w:type="pct"/>
            <w:noWrap/>
            <w:vAlign w:val="center"/>
            <w:hideMark/>
          </w:tcPr>
          <w:p w14:paraId="34626FED" w14:textId="30413DC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-0,5%</w:t>
            </w:r>
          </w:p>
        </w:tc>
        <w:tc>
          <w:tcPr>
            <w:tcW w:w="853" w:type="pct"/>
            <w:noWrap/>
            <w:vAlign w:val="center"/>
            <w:hideMark/>
          </w:tcPr>
          <w:p w14:paraId="3F6CAC71" w14:textId="455DD66A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-0,5%</w:t>
            </w:r>
          </w:p>
        </w:tc>
        <w:tc>
          <w:tcPr>
            <w:tcW w:w="853" w:type="pct"/>
            <w:noWrap/>
            <w:vAlign w:val="center"/>
            <w:hideMark/>
          </w:tcPr>
          <w:p w14:paraId="4720409E" w14:textId="1E37AFDD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8,4%</w:t>
            </w:r>
          </w:p>
        </w:tc>
        <w:tc>
          <w:tcPr>
            <w:tcW w:w="802" w:type="pct"/>
            <w:noWrap/>
            <w:vAlign w:val="center"/>
            <w:hideMark/>
          </w:tcPr>
          <w:p w14:paraId="3B5BD7DF" w14:textId="2F92351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4,9%</w:t>
            </w:r>
          </w:p>
        </w:tc>
      </w:tr>
      <w:tr w:rsidR="006D38BA" w:rsidRPr="000A6C85" w14:paraId="060B58CE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B8ED87F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21454CF" w14:textId="154D6A3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106466B" w14:textId="042585B5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8C839B4" w14:textId="1012EDCB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45AAF7E" w14:textId="4A4B9E98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0,2%</w:t>
            </w:r>
          </w:p>
        </w:tc>
      </w:tr>
      <w:tr w:rsidR="006D38BA" w:rsidRPr="000A6C85" w14:paraId="4CB0AADC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7C5A9D1E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787" w:type="pct"/>
            <w:noWrap/>
            <w:vAlign w:val="center"/>
            <w:hideMark/>
          </w:tcPr>
          <w:p w14:paraId="3B4A7046" w14:textId="4EA61CB2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7,7%</w:t>
            </w:r>
          </w:p>
        </w:tc>
        <w:tc>
          <w:tcPr>
            <w:tcW w:w="853" w:type="pct"/>
            <w:noWrap/>
            <w:vAlign w:val="center"/>
            <w:hideMark/>
          </w:tcPr>
          <w:p w14:paraId="31C20852" w14:textId="1CCE382B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853" w:type="pct"/>
            <w:noWrap/>
            <w:vAlign w:val="center"/>
            <w:hideMark/>
          </w:tcPr>
          <w:p w14:paraId="7BC5F1ED" w14:textId="6FA50427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-6,4%</w:t>
            </w:r>
          </w:p>
        </w:tc>
        <w:tc>
          <w:tcPr>
            <w:tcW w:w="802" w:type="pct"/>
            <w:noWrap/>
            <w:vAlign w:val="center"/>
            <w:hideMark/>
          </w:tcPr>
          <w:p w14:paraId="73DEFD84" w14:textId="35CF86F4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-4,3%</w:t>
            </w:r>
          </w:p>
        </w:tc>
      </w:tr>
      <w:tr w:rsidR="006D38BA" w:rsidRPr="000A6C85" w14:paraId="08640B16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097A825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51A4E56" w14:textId="3DAAC686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-18,3%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D3C0A3E" w14:textId="14A2D57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361AD90" w14:textId="77BCF57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4C3A43" w14:textId="677741E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7,4%</w:t>
            </w:r>
          </w:p>
        </w:tc>
      </w:tr>
      <w:tr w:rsidR="006D38BA" w:rsidRPr="000A6C85" w14:paraId="3C8D80B3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010A1074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787" w:type="pct"/>
            <w:noWrap/>
            <w:vAlign w:val="center"/>
            <w:hideMark/>
          </w:tcPr>
          <w:p w14:paraId="7A25F439" w14:textId="752341D3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853" w:type="pct"/>
            <w:noWrap/>
            <w:vAlign w:val="center"/>
            <w:hideMark/>
          </w:tcPr>
          <w:p w14:paraId="1D1736DB" w14:textId="164BCBB6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-1,5%</w:t>
            </w:r>
          </w:p>
        </w:tc>
        <w:tc>
          <w:tcPr>
            <w:tcW w:w="853" w:type="pct"/>
            <w:noWrap/>
            <w:vAlign w:val="center"/>
            <w:hideMark/>
          </w:tcPr>
          <w:p w14:paraId="1EA03039" w14:textId="53DDC6EE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802" w:type="pct"/>
            <w:noWrap/>
            <w:vAlign w:val="center"/>
            <w:hideMark/>
          </w:tcPr>
          <w:p w14:paraId="0266CB2F" w14:textId="01C0960F" w:rsidR="006D38BA" w:rsidRPr="00A70CBE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</w:tr>
      <w:tr w:rsidR="006D38BA" w:rsidRPr="000A6C85" w14:paraId="4631A7C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B8F1678" w14:textId="77777777" w:rsidR="006D38BA" w:rsidRPr="00A70CBE" w:rsidRDefault="006D38BA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787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B5DAFFE" w14:textId="1D5EE9BA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35782B" w14:textId="79BFF827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  <w:tc>
          <w:tcPr>
            <w:tcW w:w="853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24FDBBF" w14:textId="17D512AD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802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CADE4DC" w14:textId="28EC0781" w:rsidR="006D38BA" w:rsidRPr="00A70CBE" w:rsidRDefault="006D38BA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6,6%</w:t>
            </w:r>
          </w:p>
        </w:tc>
      </w:tr>
      <w:tr w:rsidR="006D38BA" w:rsidRPr="00A70CBE" w14:paraId="30C87904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pct"/>
            <w:tcBorders>
              <w:right w:val="none" w:sz="0" w:space="0" w:color="auto"/>
            </w:tcBorders>
            <w:vAlign w:val="center"/>
            <w:hideMark/>
          </w:tcPr>
          <w:p w14:paraId="79FEAF05" w14:textId="77777777" w:rsidR="006D38BA" w:rsidRPr="00A70CBE" w:rsidRDefault="006D38BA" w:rsidP="000A6C85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787" w:type="pct"/>
            <w:noWrap/>
            <w:vAlign w:val="center"/>
            <w:hideMark/>
          </w:tcPr>
          <w:p w14:paraId="3A8D4D53" w14:textId="551283A0" w:rsidR="006D38BA" w:rsidRPr="009737CB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-0,6%</w:t>
            </w:r>
          </w:p>
        </w:tc>
        <w:tc>
          <w:tcPr>
            <w:tcW w:w="853" w:type="pct"/>
            <w:noWrap/>
            <w:vAlign w:val="center"/>
            <w:hideMark/>
          </w:tcPr>
          <w:p w14:paraId="59DC4264" w14:textId="252F6B5C" w:rsidR="006D38BA" w:rsidRPr="009737CB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853" w:type="pct"/>
            <w:noWrap/>
            <w:vAlign w:val="center"/>
            <w:hideMark/>
          </w:tcPr>
          <w:p w14:paraId="71EBDCFA" w14:textId="6F1F2DCE" w:rsidR="006D38BA" w:rsidRPr="009737CB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802" w:type="pct"/>
            <w:noWrap/>
            <w:vAlign w:val="center"/>
            <w:hideMark/>
          </w:tcPr>
          <w:p w14:paraId="00895D2F" w14:textId="526179AD" w:rsidR="006D38BA" w:rsidRPr="009737CB" w:rsidRDefault="006D38BA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1,0%</w:t>
            </w:r>
          </w:p>
        </w:tc>
      </w:tr>
    </w:tbl>
    <w:p w14:paraId="688C5C0D" w14:textId="77777777" w:rsidR="00C94B82" w:rsidRDefault="00C94B82" w:rsidP="00351EE8">
      <w:pPr>
        <w:pStyle w:val="Titolo2"/>
        <w:rPr>
          <w:rFonts w:asciiTheme="minorHAnsi" w:eastAsia="Times New Roman" w:hAnsiTheme="minorHAnsi" w:cstheme="minorHAnsi"/>
          <w:i/>
          <w:iCs/>
          <w:szCs w:val="22"/>
          <w:lang w:eastAsia="it-IT"/>
        </w:rPr>
      </w:pPr>
      <w:bookmarkStart w:id="20" w:name="_Toc25058699"/>
    </w:p>
    <w:p w14:paraId="7E82C01B" w14:textId="77777777" w:rsidR="00C94B82" w:rsidRDefault="00C94B82">
      <w:pPr>
        <w:rPr>
          <w:rFonts w:eastAsia="Times New Roman" w:cstheme="minorHAnsi"/>
          <w:i/>
          <w:iCs/>
          <w:sz w:val="20"/>
          <w:lang w:eastAsia="it-IT"/>
        </w:rPr>
      </w:pPr>
      <w:r>
        <w:rPr>
          <w:rFonts w:eastAsia="Times New Roman" w:cstheme="minorHAnsi"/>
          <w:i/>
          <w:iCs/>
          <w:lang w:eastAsia="it-IT"/>
        </w:rPr>
        <w:br w:type="page"/>
      </w:r>
    </w:p>
    <w:p w14:paraId="7F05B9BF" w14:textId="236DA28E" w:rsidR="0063187D" w:rsidRPr="00A70CBE" w:rsidRDefault="0045632A" w:rsidP="00351EE8">
      <w:pPr>
        <w:pStyle w:val="Titolo2"/>
        <w:rPr>
          <w:rFonts w:asciiTheme="minorHAnsi" w:eastAsia="Times New Roman" w:hAnsiTheme="minorHAnsi" w:cstheme="minorHAnsi"/>
          <w:i/>
          <w:iCs/>
          <w:szCs w:val="22"/>
          <w:lang w:eastAsia="it-IT"/>
        </w:rPr>
      </w:pPr>
      <w:bookmarkStart w:id="21" w:name="_Toc64210252"/>
      <w:r w:rsidRPr="00700B66">
        <w:rPr>
          <w:rFonts w:asciiTheme="minorHAnsi" w:eastAsia="Times New Roman" w:hAnsiTheme="minorHAnsi" w:cstheme="minorHAnsi"/>
          <w:i/>
          <w:iCs/>
          <w:szCs w:val="22"/>
          <w:lang w:eastAsia="it-IT"/>
        </w:rPr>
        <w:lastRenderedPageBreak/>
        <w:t>Tabella 8</w:t>
      </w:r>
      <w:r w:rsidR="006F5E5C" w:rsidRPr="00A70CBE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 xml:space="preserve"> </w:t>
      </w:r>
      <w:r w:rsidR="00C528DB" w:rsidRPr="00A70CBE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>-</w:t>
      </w:r>
      <w:r w:rsidR="00825B19" w:rsidRPr="00A70CBE">
        <w:rPr>
          <w:rFonts w:asciiTheme="minorHAnsi" w:eastAsia="Times New Roman" w:hAnsiTheme="minorHAnsi" w:cstheme="minorHAnsi"/>
          <w:i/>
          <w:iCs/>
          <w:szCs w:val="22"/>
          <w:lang w:eastAsia="it-IT"/>
        </w:rPr>
        <w:t xml:space="preserve"> </w:t>
      </w:r>
      <w:r w:rsidR="006F5E5C" w:rsidRPr="00700B66">
        <w:rPr>
          <w:rFonts w:asciiTheme="minorHAnsi" w:eastAsia="Times New Roman" w:hAnsiTheme="minorHAnsi" w:cstheme="minorHAnsi"/>
          <w:szCs w:val="22"/>
          <w:lang w:eastAsia="it-IT"/>
        </w:rPr>
        <w:t>Variazione percentuale 201</w:t>
      </w:r>
      <w:r w:rsidR="00E27157">
        <w:rPr>
          <w:rFonts w:asciiTheme="minorHAnsi" w:eastAsia="Times New Roman" w:hAnsiTheme="minorHAnsi" w:cstheme="minorHAnsi"/>
          <w:szCs w:val="22"/>
          <w:lang w:eastAsia="it-IT"/>
        </w:rPr>
        <w:t>9</w:t>
      </w:r>
      <w:r w:rsidR="006F5E5C" w:rsidRPr="00700B66">
        <w:rPr>
          <w:rFonts w:asciiTheme="minorHAnsi" w:eastAsia="Times New Roman" w:hAnsiTheme="minorHAnsi" w:cstheme="minorHAnsi"/>
          <w:szCs w:val="22"/>
          <w:lang w:eastAsia="it-IT"/>
        </w:rPr>
        <w:t xml:space="preserve"> su 201</w:t>
      </w:r>
      <w:r w:rsidR="00E27157">
        <w:rPr>
          <w:rFonts w:asciiTheme="minorHAnsi" w:eastAsia="Times New Roman" w:hAnsiTheme="minorHAnsi" w:cstheme="minorHAnsi"/>
          <w:szCs w:val="22"/>
          <w:lang w:eastAsia="it-IT"/>
        </w:rPr>
        <w:t>8</w:t>
      </w:r>
      <w:r w:rsidR="006F5E5C" w:rsidRPr="00700B66">
        <w:rPr>
          <w:rFonts w:asciiTheme="minorHAnsi" w:eastAsia="Times New Roman" w:hAnsiTheme="minorHAnsi" w:cstheme="minorHAnsi"/>
          <w:szCs w:val="22"/>
          <w:lang w:eastAsia="it-IT"/>
        </w:rPr>
        <w:t xml:space="preserve"> valore aggiunto per </w:t>
      </w:r>
      <w:bookmarkEnd w:id="20"/>
      <w:r w:rsidR="00C94B82">
        <w:rPr>
          <w:rFonts w:eastAsia="Times New Roman"/>
          <w:lang w:eastAsia="it-IT"/>
        </w:rPr>
        <w:t>comparti industriali</w:t>
      </w:r>
      <w:bookmarkEnd w:id="21"/>
    </w:p>
    <w:tbl>
      <w:tblPr>
        <w:tblStyle w:val="Tabellaelenco3-colore11"/>
        <w:tblW w:w="8380" w:type="dxa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2632"/>
        <w:gridCol w:w="1259"/>
        <w:gridCol w:w="1449"/>
        <w:gridCol w:w="1449"/>
        <w:gridCol w:w="1591"/>
      </w:tblGrid>
      <w:tr w:rsidR="00A70CBE" w:rsidRPr="00507B56" w14:paraId="5E4A998E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2" w:type="dxa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41897D30" w14:textId="21E6F271" w:rsidR="00D17EB8" w:rsidRPr="00507B56" w:rsidRDefault="00D17EB8" w:rsidP="00D17EB8">
            <w:pPr>
              <w:rPr>
                <w:rFonts w:ascii="Calibri" w:eastAsia="Times New Roman" w:hAnsi="Calibri" w:cs="Calibri"/>
                <w:smallCaps/>
                <w:sz w:val="24"/>
                <w:szCs w:val="24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1259" w:type="dxa"/>
            <w:shd w:val="clear" w:color="auto" w:fill="000099"/>
            <w:noWrap/>
            <w:vAlign w:val="center"/>
            <w:hideMark/>
          </w:tcPr>
          <w:p w14:paraId="52948210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0-2.000</w:t>
            </w:r>
          </w:p>
        </w:tc>
        <w:tc>
          <w:tcPr>
            <w:tcW w:w="1449" w:type="dxa"/>
            <w:shd w:val="clear" w:color="auto" w:fill="000099"/>
            <w:noWrap/>
            <w:vAlign w:val="center"/>
            <w:hideMark/>
          </w:tcPr>
          <w:p w14:paraId="264E81AC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2.000-10.000</w:t>
            </w:r>
          </w:p>
        </w:tc>
        <w:tc>
          <w:tcPr>
            <w:tcW w:w="1449" w:type="dxa"/>
            <w:shd w:val="clear" w:color="auto" w:fill="000099"/>
            <w:noWrap/>
            <w:vAlign w:val="center"/>
            <w:hideMark/>
          </w:tcPr>
          <w:p w14:paraId="2CD15F81" w14:textId="77777777" w:rsidR="00D17EB8" w:rsidRPr="00507B56" w:rsidRDefault="00D17EB8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Più di 10.000</w:t>
            </w:r>
          </w:p>
        </w:tc>
        <w:tc>
          <w:tcPr>
            <w:tcW w:w="1591" w:type="dxa"/>
            <w:shd w:val="clear" w:color="auto" w:fill="000099"/>
            <w:noWrap/>
            <w:vAlign w:val="center"/>
            <w:hideMark/>
          </w:tcPr>
          <w:p w14:paraId="77499E4B" w14:textId="5921E853" w:rsidR="00D17EB8" w:rsidRPr="00507B56" w:rsidRDefault="00A70CBE" w:rsidP="00D17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07B5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TOTALE</w:t>
            </w:r>
          </w:p>
        </w:tc>
      </w:tr>
      <w:tr w:rsidR="00B6541B" w:rsidRPr="000A6C85" w14:paraId="6CF53D66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EF1D598" w14:textId="09E76CDB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E9C0F78" w14:textId="705580AF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40A541F" w14:textId="18BF0FE0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B4A07D3" w14:textId="0A48E868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21AE5F8" w14:textId="28FAFD25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3,6%</w:t>
            </w:r>
          </w:p>
        </w:tc>
      </w:tr>
      <w:tr w:rsidR="00B6541B" w:rsidRPr="000A6C85" w14:paraId="21F84B36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7C748F6D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1259" w:type="dxa"/>
            <w:noWrap/>
            <w:vAlign w:val="center"/>
            <w:hideMark/>
          </w:tcPr>
          <w:p w14:paraId="1EAF33AC" w14:textId="67AC7CB0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449" w:type="dxa"/>
            <w:noWrap/>
            <w:vAlign w:val="center"/>
            <w:hideMark/>
          </w:tcPr>
          <w:p w14:paraId="425E16B1" w14:textId="12AAB1FA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-1,1%</w:t>
            </w:r>
          </w:p>
        </w:tc>
        <w:tc>
          <w:tcPr>
            <w:tcW w:w="1449" w:type="dxa"/>
            <w:noWrap/>
            <w:vAlign w:val="center"/>
            <w:hideMark/>
          </w:tcPr>
          <w:p w14:paraId="2E994989" w14:textId="2C395985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-10,3%</w:t>
            </w:r>
          </w:p>
        </w:tc>
        <w:tc>
          <w:tcPr>
            <w:tcW w:w="1591" w:type="dxa"/>
            <w:noWrap/>
            <w:vAlign w:val="center"/>
            <w:hideMark/>
          </w:tcPr>
          <w:p w14:paraId="49A6E050" w14:textId="4AE013C5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-4,1%</w:t>
            </w:r>
          </w:p>
        </w:tc>
      </w:tr>
      <w:tr w:rsidR="00B6541B" w:rsidRPr="000A6C85" w14:paraId="7CEFC86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6A0A8B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8234B9D" w14:textId="2B4E35E6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-0,7%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D18AD0F" w14:textId="48934D1B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6B40F5C" w14:textId="22204876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-2,1%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4BE2074" w14:textId="50BFDD2C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-0,3%</w:t>
            </w:r>
          </w:p>
        </w:tc>
      </w:tr>
      <w:tr w:rsidR="00B6541B" w:rsidRPr="000A6C85" w14:paraId="19DB62D1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15E8BF9D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1259" w:type="dxa"/>
            <w:noWrap/>
            <w:vAlign w:val="center"/>
            <w:hideMark/>
          </w:tcPr>
          <w:p w14:paraId="1D0B9E90" w14:textId="475C5975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1449" w:type="dxa"/>
            <w:noWrap/>
            <w:vAlign w:val="center"/>
            <w:hideMark/>
          </w:tcPr>
          <w:p w14:paraId="61CEBA73" w14:textId="1425B9CC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449" w:type="dxa"/>
            <w:noWrap/>
            <w:vAlign w:val="center"/>
            <w:hideMark/>
          </w:tcPr>
          <w:p w14:paraId="52D3BA33" w14:textId="1BE474C8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18,2%</w:t>
            </w:r>
          </w:p>
        </w:tc>
        <w:tc>
          <w:tcPr>
            <w:tcW w:w="1591" w:type="dxa"/>
            <w:noWrap/>
            <w:vAlign w:val="center"/>
            <w:hideMark/>
          </w:tcPr>
          <w:p w14:paraId="1F9B0A00" w14:textId="6EA4116A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9,7%</w:t>
            </w:r>
          </w:p>
        </w:tc>
      </w:tr>
      <w:tr w:rsidR="00B6541B" w:rsidRPr="000A6C85" w14:paraId="1C811CA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06AA3FA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6215C33" w14:textId="684C3C01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8DAFB14" w14:textId="52A616FE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3DEECFA" w14:textId="7AF6AF6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A36344C" w14:textId="7A9BB2B5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</w:tr>
      <w:tr w:rsidR="00B6541B" w:rsidRPr="000A6C85" w14:paraId="1F2BB298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203512BA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1259" w:type="dxa"/>
            <w:noWrap/>
            <w:vAlign w:val="center"/>
            <w:hideMark/>
          </w:tcPr>
          <w:p w14:paraId="2F1C3E2A" w14:textId="71AE71AF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449" w:type="dxa"/>
            <w:noWrap/>
            <w:vAlign w:val="center"/>
            <w:hideMark/>
          </w:tcPr>
          <w:p w14:paraId="6989ADDE" w14:textId="2158DF1A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1449" w:type="dxa"/>
            <w:noWrap/>
            <w:vAlign w:val="center"/>
            <w:hideMark/>
          </w:tcPr>
          <w:p w14:paraId="61E00AF8" w14:textId="15F1BEB9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10,8%</w:t>
            </w:r>
          </w:p>
        </w:tc>
        <w:tc>
          <w:tcPr>
            <w:tcW w:w="1591" w:type="dxa"/>
            <w:noWrap/>
            <w:vAlign w:val="center"/>
            <w:hideMark/>
          </w:tcPr>
          <w:p w14:paraId="6B11A674" w14:textId="72CC68E2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8,7%</w:t>
            </w:r>
          </w:p>
        </w:tc>
      </w:tr>
      <w:tr w:rsidR="00B6541B" w:rsidRPr="000A6C85" w14:paraId="28EB886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A6F2DD5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63E428F" w14:textId="142D8684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D8C3D4B" w14:textId="371D0405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8183BD0" w14:textId="20AB61A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8,6%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4BB850A" w14:textId="304F8024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</w:tr>
      <w:tr w:rsidR="00B6541B" w:rsidRPr="000A6C85" w14:paraId="6A5F907C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6EDBD078" w14:textId="53DBF7B4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1259" w:type="dxa"/>
            <w:noWrap/>
            <w:vAlign w:val="center"/>
            <w:hideMark/>
          </w:tcPr>
          <w:p w14:paraId="01D986A1" w14:textId="439A29F1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3,3%</w:t>
            </w:r>
          </w:p>
        </w:tc>
        <w:tc>
          <w:tcPr>
            <w:tcW w:w="1449" w:type="dxa"/>
            <w:noWrap/>
            <w:vAlign w:val="center"/>
            <w:hideMark/>
          </w:tcPr>
          <w:p w14:paraId="110E8BDC" w14:textId="3DC76404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6,4%</w:t>
            </w:r>
          </w:p>
        </w:tc>
        <w:tc>
          <w:tcPr>
            <w:tcW w:w="1449" w:type="dxa"/>
            <w:noWrap/>
            <w:vAlign w:val="center"/>
            <w:hideMark/>
          </w:tcPr>
          <w:p w14:paraId="76182155" w14:textId="3EDBEC06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10,7%</w:t>
            </w:r>
          </w:p>
        </w:tc>
        <w:tc>
          <w:tcPr>
            <w:tcW w:w="1591" w:type="dxa"/>
            <w:noWrap/>
            <w:vAlign w:val="center"/>
            <w:hideMark/>
          </w:tcPr>
          <w:p w14:paraId="16C3A361" w14:textId="459CDBAD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9,9%</w:t>
            </w:r>
          </w:p>
        </w:tc>
      </w:tr>
      <w:tr w:rsidR="00B6541B" w:rsidRPr="000A6C85" w14:paraId="31A990A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F36D37D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55C5893" w14:textId="1740F28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BEC41C" w14:textId="2F521A53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B7655AA" w14:textId="5E1D59BD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5C13F64" w14:textId="0E0C09C7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B6541B" w:rsidRPr="000A6C85" w14:paraId="4855F9E2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511E5E42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1259" w:type="dxa"/>
            <w:noWrap/>
            <w:vAlign w:val="center"/>
            <w:hideMark/>
          </w:tcPr>
          <w:p w14:paraId="1512E7CA" w14:textId="69BAC183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-44,5%</w:t>
            </w:r>
          </w:p>
        </w:tc>
        <w:tc>
          <w:tcPr>
            <w:tcW w:w="1449" w:type="dxa"/>
            <w:noWrap/>
            <w:vAlign w:val="center"/>
            <w:hideMark/>
          </w:tcPr>
          <w:p w14:paraId="1152F3BF" w14:textId="30410C79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449" w:type="dxa"/>
            <w:noWrap/>
            <w:vAlign w:val="center"/>
            <w:hideMark/>
          </w:tcPr>
          <w:p w14:paraId="365DA52D" w14:textId="68C89F5F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591" w:type="dxa"/>
            <w:noWrap/>
            <w:vAlign w:val="center"/>
            <w:hideMark/>
          </w:tcPr>
          <w:p w14:paraId="4196916E" w14:textId="7D735F7C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</w:tr>
      <w:tr w:rsidR="00B6541B" w:rsidRPr="000A6C85" w14:paraId="26A1F5C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5603389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A5DFD7" w14:textId="320D3084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4892979" w14:textId="270F8669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-0,1%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D08F63A" w14:textId="4BD9E2D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BDADECB" w14:textId="43089C0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</w:tr>
      <w:tr w:rsidR="00B6541B" w:rsidRPr="000A6C85" w14:paraId="5100FEE6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2E5E9994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1259" w:type="dxa"/>
            <w:noWrap/>
            <w:vAlign w:val="center"/>
            <w:hideMark/>
          </w:tcPr>
          <w:p w14:paraId="7E3684C6" w14:textId="6FBC4423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-1,5%</w:t>
            </w:r>
          </w:p>
        </w:tc>
        <w:tc>
          <w:tcPr>
            <w:tcW w:w="1449" w:type="dxa"/>
            <w:noWrap/>
            <w:vAlign w:val="center"/>
            <w:hideMark/>
          </w:tcPr>
          <w:p w14:paraId="0C90A11C" w14:textId="17C298E2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449" w:type="dxa"/>
            <w:noWrap/>
            <w:vAlign w:val="center"/>
            <w:hideMark/>
          </w:tcPr>
          <w:p w14:paraId="23816858" w14:textId="21AB80E0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4,8%</w:t>
            </w:r>
          </w:p>
        </w:tc>
        <w:tc>
          <w:tcPr>
            <w:tcW w:w="1591" w:type="dxa"/>
            <w:noWrap/>
            <w:vAlign w:val="center"/>
            <w:hideMark/>
          </w:tcPr>
          <w:p w14:paraId="368CC226" w14:textId="68CDF340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2,4%</w:t>
            </w:r>
          </w:p>
        </w:tc>
      </w:tr>
      <w:tr w:rsidR="00B6541B" w:rsidRPr="000A6C85" w14:paraId="0EF2F75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E3FA841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Metallurgia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B269243" w14:textId="6C54224A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17,5%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1C60D92" w14:textId="0D272467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6039632" w14:textId="38DF288D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2A5D541" w14:textId="40371C31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</w:tr>
      <w:tr w:rsidR="00B6541B" w:rsidRPr="000A6C85" w14:paraId="59784941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1A072DC1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1259" w:type="dxa"/>
            <w:noWrap/>
            <w:vAlign w:val="center"/>
            <w:hideMark/>
          </w:tcPr>
          <w:p w14:paraId="20730F98" w14:textId="71DA156B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49" w:type="dxa"/>
            <w:noWrap/>
            <w:vAlign w:val="center"/>
            <w:hideMark/>
          </w:tcPr>
          <w:p w14:paraId="792A02D2" w14:textId="510456CF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1,4%</w:t>
            </w:r>
          </w:p>
        </w:tc>
        <w:tc>
          <w:tcPr>
            <w:tcW w:w="1449" w:type="dxa"/>
            <w:noWrap/>
            <w:vAlign w:val="center"/>
            <w:hideMark/>
          </w:tcPr>
          <w:p w14:paraId="5BBB32DD" w14:textId="7814ADC2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3,1%</w:t>
            </w:r>
          </w:p>
        </w:tc>
        <w:tc>
          <w:tcPr>
            <w:tcW w:w="1591" w:type="dxa"/>
            <w:noWrap/>
            <w:vAlign w:val="center"/>
            <w:hideMark/>
          </w:tcPr>
          <w:p w14:paraId="379B3CCD" w14:textId="54950076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</w:tr>
      <w:tr w:rsidR="00B6541B" w:rsidRPr="000A6C85" w14:paraId="5B04126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69F3912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55D6E69" w14:textId="6B9C892F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C618A2F" w14:textId="309B0AB7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FF1753" w14:textId="062D86A4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92E9483" w14:textId="71009E0C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</w:tr>
      <w:tr w:rsidR="00B6541B" w:rsidRPr="000A6C85" w14:paraId="2B357D29" w14:textId="77777777" w:rsidTr="008D25E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46429E5C" w14:textId="6BAFD2DC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1259" w:type="dxa"/>
            <w:noWrap/>
            <w:vAlign w:val="center"/>
            <w:hideMark/>
          </w:tcPr>
          <w:p w14:paraId="04C1F7F5" w14:textId="2FA22A71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  <w:tc>
          <w:tcPr>
            <w:tcW w:w="1449" w:type="dxa"/>
            <w:noWrap/>
            <w:vAlign w:val="center"/>
            <w:hideMark/>
          </w:tcPr>
          <w:p w14:paraId="20521EE3" w14:textId="568138F0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1449" w:type="dxa"/>
            <w:noWrap/>
            <w:vAlign w:val="center"/>
            <w:hideMark/>
          </w:tcPr>
          <w:p w14:paraId="0977BCBD" w14:textId="56BEEAA4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17,9%</w:t>
            </w:r>
          </w:p>
        </w:tc>
        <w:tc>
          <w:tcPr>
            <w:tcW w:w="1591" w:type="dxa"/>
            <w:noWrap/>
            <w:vAlign w:val="center"/>
            <w:hideMark/>
          </w:tcPr>
          <w:p w14:paraId="51906312" w14:textId="2DDE0744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9,5%</w:t>
            </w:r>
          </w:p>
        </w:tc>
      </w:tr>
      <w:tr w:rsidR="00B6541B" w:rsidRPr="000A6C85" w14:paraId="72BCC9C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E0F5CA5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E61FC1B" w14:textId="00D4BCB7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01193AA" w14:textId="64190B5E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1,8%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D5AC456" w14:textId="42A1F381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E2B0072" w14:textId="6DADEFDE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</w:tr>
      <w:tr w:rsidR="00B6541B" w:rsidRPr="000A6C85" w14:paraId="242D76FA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4F9622F3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1259" w:type="dxa"/>
            <w:noWrap/>
            <w:vAlign w:val="center"/>
            <w:hideMark/>
          </w:tcPr>
          <w:p w14:paraId="4DC792BA" w14:textId="2E9F7465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-1,3%</w:t>
            </w:r>
          </w:p>
        </w:tc>
        <w:tc>
          <w:tcPr>
            <w:tcW w:w="1449" w:type="dxa"/>
            <w:noWrap/>
            <w:vAlign w:val="center"/>
            <w:hideMark/>
          </w:tcPr>
          <w:p w14:paraId="7C54CA39" w14:textId="7A678023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1449" w:type="dxa"/>
            <w:noWrap/>
            <w:vAlign w:val="center"/>
            <w:hideMark/>
          </w:tcPr>
          <w:p w14:paraId="5BDEF90C" w14:textId="29D979C7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-4,7%</w:t>
            </w:r>
          </w:p>
        </w:tc>
        <w:tc>
          <w:tcPr>
            <w:tcW w:w="1591" w:type="dxa"/>
            <w:noWrap/>
            <w:vAlign w:val="center"/>
            <w:hideMark/>
          </w:tcPr>
          <w:p w14:paraId="14052372" w14:textId="7FA56D3A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-2,7%</w:t>
            </w:r>
          </w:p>
        </w:tc>
      </w:tr>
      <w:tr w:rsidR="00B6541B" w:rsidRPr="000A6C85" w14:paraId="0BDB7D6E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F3A0EE3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15A11E6" w14:textId="586EE79B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-6,0%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6D9313" w14:textId="7C08F7DC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1B016BF" w14:textId="171C4E42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-3,1%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B6564DE" w14:textId="0B0D7B7D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-1,8%</w:t>
            </w:r>
          </w:p>
        </w:tc>
      </w:tr>
      <w:tr w:rsidR="00B6541B" w:rsidRPr="000A6C85" w14:paraId="6D59AD34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7E67A432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1259" w:type="dxa"/>
            <w:noWrap/>
            <w:vAlign w:val="center"/>
            <w:hideMark/>
          </w:tcPr>
          <w:p w14:paraId="69131E0E" w14:textId="03FC7A0A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1,6%</w:t>
            </w:r>
          </w:p>
        </w:tc>
        <w:tc>
          <w:tcPr>
            <w:tcW w:w="1449" w:type="dxa"/>
            <w:noWrap/>
            <w:vAlign w:val="center"/>
            <w:hideMark/>
          </w:tcPr>
          <w:p w14:paraId="1D74DDB9" w14:textId="1A01FEDC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449" w:type="dxa"/>
            <w:noWrap/>
            <w:vAlign w:val="center"/>
            <w:hideMark/>
          </w:tcPr>
          <w:p w14:paraId="276AC57F" w14:textId="2C58F79E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11,6%</w:t>
            </w:r>
          </w:p>
        </w:tc>
        <w:tc>
          <w:tcPr>
            <w:tcW w:w="1591" w:type="dxa"/>
            <w:noWrap/>
            <w:vAlign w:val="center"/>
            <w:hideMark/>
          </w:tcPr>
          <w:p w14:paraId="462750F5" w14:textId="2CC22E06" w:rsidR="00B6541B" w:rsidRPr="00A70CBE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5,3%</w:t>
            </w:r>
          </w:p>
        </w:tc>
      </w:tr>
      <w:tr w:rsidR="00B6541B" w:rsidRPr="000A6C85" w14:paraId="377BEE3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4569ACE" w14:textId="77777777" w:rsidR="00B6541B" w:rsidRPr="00A70CBE" w:rsidRDefault="00B6541B" w:rsidP="000A6C85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125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97D8E81" w14:textId="490191A1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0D0B125" w14:textId="1FEBBC2B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2,5%</w:t>
            </w:r>
          </w:p>
        </w:tc>
        <w:tc>
          <w:tcPr>
            <w:tcW w:w="144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128C0D0" w14:textId="2B61E456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591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379ECBD" w14:textId="3297131E" w:rsidR="00B6541B" w:rsidRPr="00A70CBE" w:rsidRDefault="00B6541B" w:rsidP="000A6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</w:tr>
      <w:tr w:rsidR="00B6541B" w:rsidRPr="00A70CBE" w14:paraId="187DC87D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right w:val="none" w:sz="0" w:space="0" w:color="auto"/>
            </w:tcBorders>
            <w:vAlign w:val="center"/>
            <w:hideMark/>
          </w:tcPr>
          <w:p w14:paraId="286DBE58" w14:textId="77777777" w:rsidR="00B6541B" w:rsidRPr="00A70CBE" w:rsidRDefault="00B6541B" w:rsidP="000A6C85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A70CB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259" w:type="dxa"/>
            <w:noWrap/>
            <w:vAlign w:val="center"/>
            <w:hideMark/>
          </w:tcPr>
          <w:p w14:paraId="152C0911" w14:textId="71730F9B" w:rsidR="00B6541B" w:rsidRPr="009737CB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0,7%</w:t>
            </w:r>
          </w:p>
        </w:tc>
        <w:tc>
          <w:tcPr>
            <w:tcW w:w="1449" w:type="dxa"/>
            <w:noWrap/>
            <w:vAlign w:val="center"/>
            <w:hideMark/>
          </w:tcPr>
          <w:p w14:paraId="55649582" w14:textId="0D861565" w:rsidR="00B6541B" w:rsidRPr="009737CB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449" w:type="dxa"/>
            <w:noWrap/>
            <w:vAlign w:val="center"/>
            <w:hideMark/>
          </w:tcPr>
          <w:p w14:paraId="0EC88F3F" w14:textId="5AF272DB" w:rsidR="00B6541B" w:rsidRPr="009737CB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591" w:type="dxa"/>
            <w:noWrap/>
            <w:vAlign w:val="center"/>
            <w:hideMark/>
          </w:tcPr>
          <w:p w14:paraId="3F2C1065" w14:textId="37023712" w:rsidR="00B6541B" w:rsidRPr="009737CB" w:rsidRDefault="00B6541B" w:rsidP="000A6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2,8%</w:t>
            </w:r>
          </w:p>
        </w:tc>
      </w:tr>
    </w:tbl>
    <w:p w14:paraId="15721533" w14:textId="77777777" w:rsidR="00C94B82" w:rsidRDefault="00C94B82" w:rsidP="000875D9">
      <w:pPr>
        <w:spacing w:before="240" w:after="120" w:line="240" w:lineRule="auto"/>
        <w:jc w:val="both"/>
        <w:rPr>
          <w:rStyle w:val="Titolo2Carattere"/>
          <w:rFonts w:asciiTheme="minorHAnsi" w:hAnsiTheme="minorHAnsi" w:cstheme="minorHAnsi"/>
          <w:i/>
          <w:iCs/>
          <w:szCs w:val="20"/>
        </w:rPr>
      </w:pPr>
      <w:bookmarkStart w:id="22" w:name="_Toc25058700"/>
    </w:p>
    <w:p w14:paraId="347A0BAC" w14:textId="77777777" w:rsidR="00C94B82" w:rsidRDefault="00C94B82">
      <w:pPr>
        <w:rPr>
          <w:rStyle w:val="Titolo2Carattere"/>
          <w:rFonts w:asciiTheme="minorHAnsi" w:hAnsiTheme="minorHAnsi" w:cstheme="minorHAnsi"/>
          <w:i/>
          <w:iCs/>
          <w:szCs w:val="20"/>
        </w:rPr>
      </w:pPr>
      <w:r>
        <w:rPr>
          <w:rStyle w:val="Titolo2Carattere"/>
          <w:rFonts w:asciiTheme="minorHAnsi" w:hAnsiTheme="minorHAnsi" w:cstheme="minorHAnsi"/>
          <w:i/>
          <w:iCs/>
          <w:szCs w:val="20"/>
        </w:rPr>
        <w:br w:type="page"/>
      </w:r>
    </w:p>
    <w:p w14:paraId="311A364D" w14:textId="2F835799" w:rsidR="00A70CBE" w:rsidRPr="00A70CBE" w:rsidRDefault="00A70CBE" w:rsidP="000875D9">
      <w:pPr>
        <w:spacing w:before="240" w:after="120" w:line="240" w:lineRule="auto"/>
        <w:jc w:val="both"/>
        <w:rPr>
          <w:rFonts w:eastAsia="Times New Roman" w:cstheme="minorHAnsi"/>
          <w:bCs/>
          <w:i/>
          <w:iCs/>
          <w:sz w:val="20"/>
          <w:szCs w:val="20"/>
          <w:lang w:eastAsia="it-IT"/>
        </w:rPr>
      </w:pPr>
      <w:bookmarkStart w:id="23" w:name="_Toc64210253"/>
      <w:r w:rsidRPr="00700B66">
        <w:rPr>
          <w:rStyle w:val="Titolo2Carattere"/>
          <w:rFonts w:asciiTheme="minorHAnsi" w:hAnsiTheme="minorHAnsi" w:cstheme="minorHAnsi"/>
          <w:i/>
          <w:iCs/>
          <w:szCs w:val="20"/>
        </w:rPr>
        <w:lastRenderedPageBreak/>
        <w:t>Tabella 9</w:t>
      </w:r>
      <w:r w:rsidRPr="00A70CBE">
        <w:rPr>
          <w:rStyle w:val="Titolo2Carattere"/>
          <w:rFonts w:asciiTheme="minorHAnsi" w:hAnsiTheme="minorHAnsi" w:cstheme="minorHAnsi"/>
          <w:szCs w:val="20"/>
        </w:rPr>
        <w:t xml:space="preserve"> </w:t>
      </w:r>
      <w:r>
        <w:rPr>
          <w:rStyle w:val="Titolo2Carattere"/>
          <w:rFonts w:asciiTheme="minorHAnsi" w:hAnsiTheme="minorHAnsi" w:cstheme="minorHAnsi"/>
          <w:szCs w:val="20"/>
        </w:rPr>
        <w:t>-</w:t>
      </w:r>
      <w:r w:rsidRPr="00A70CBE">
        <w:rPr>
          <w:rStyle w:val="Titolo2Carattere"/>
          <w:rFonts w:asciiTheme="minorHAnsi" w:hAnsiTheme="minorHAnsi" w:cstheme="minorHAnsi"/>
          <w:szCs w:val="20"/>
        </w:rPr>
        <w:t xml:space="preserve"> </w:t>
      </w:r>
      <w:r w:rsidRPr="00700B66">
        <w:rPr>
          <w:rStyle w:val="Titolo2Carattere"/>
          <w:rFonts w:asciiTheme="minorHAnsi" w:hAnsiTheme="minorHAnsi" w:cstheme="minorHAnsi"/>
          <w:szCs w:val="20"/>
        </w:rPr>
        <w:t>Principali Indici di bilancio</w:t>
      </w:r>
      <w:r w:rsidR="00C94B82">
        <w:rPr>
          <w:rStyle w:val="Titolo2Carattere"/>
          <w:rFonts w:asciiTheme="minorHAnsi" w:hAnsiTheme="minorHAnsi" w:cstheme="minorHAnsi"/>
          <w:szCs w:val="20"/>
        </w:rPr>
        <w:t xml:space="preserve"> del settore Industria</w:t>
      </w:r>
      <w:r w:rsidRPr="00700B66">
        <w:rPr>
          <w:rStyle w:val="Titolo2Carattere"/>
          <w:rFonts w:asciiTheme="minorHAnsi" w:hAnsiTheme="minorHAnsi" w:cstheme="minorHAnsi"/>
          <w:szCs w:val="20"/>
        </w:rPr>
        <w:t>. Anni 201</w:t>
      </w:r>
      <w:r w:rsidR="00E27157">
        <w:rPr>
          <w:rStyle w:val="Titolo2Carattere"/>
          <w:rFonts w:asciiTheme="minorHAnsi" w:hAnsiTheme="minorHAnsi" w:cstheme="minorHAnsi"/>
          <w:szCs w:val="20"/>
        </w:rPr>
        <w:t>9</w:t>
      </w:r>
      <w:r w:rsidRPr="00700B66">
        <w:rPr>
          <w:rStyle w:val="Titolo2Carattere"/>
          <w:rFonts w:asciiTheme="minorHAnsi" w:hAnsiTheme="minorHAnsi" w:cstheme="minorHAnsi"/>
          <w:szCs w:val="20"/>
        </w:rPr>
        <w:t>-201</w:t>
      </w:r>
      <w:bookmarkEnd w:id="22"/>
      <w:r w:rsidR="00E27157">
        <w:rPr>
          <w:rStyle w:val="Titolo2Carattere"/>
          <w:rFonts w:asciiTheme="minorHAnsi" w:hAnsiTheme="minorHAnsi" w:cstheme="minorHAnsi"/>
          <w:szCs w:val="20"/>
        </w:rPr>
        <w:t>8</w:t>
      </w:r>
      <w:bookmarkEnd w:id="23"/>
    </w:p>
    <w:tbl>
      <w:tblPr>
        <w:tblStyle w:val="Tabellaelenco3-colore11"/>
        <w:tblW w:w="8980" w:type="dxa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1462"/>
        <w:gridCol w:w="759"/>
        <w:gridCol w:w="760"/>
        <w:gridCol w:w="760"/>
        <w:gridCol w:w="760"/>
        <w:gridCol w:w="760"/>
        <w:gridCol w:w="759"/>
        <w:gridCol w:w="760"/>
        <w:gridCol w:w="760"/>
        <w:gridCol w:w="760"/>
        <w:gridCol w:w="760"/>
      </w:tblGrid>
      <w:tr w:rsidR="00160C6E" w:rsidRPr="00A70CBE" w14:paraId="171255E6" w14:textId="77777777" w:rsidTr="00E26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2" w:type="dxa"/>
            <w:vMerge w:val="restar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46ADD6F1" w14:textId="6B0BC5DB" w:rsidR="00160C6E" w:rsidRPr="00E263B0" w:rsidRDefault="00160C6E" w:rsidP="00415D2C">
            <w:pP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E263B0">
              <w:rPr>
                <w:rFonts w:cs="Times New Roman"/>
                <w:i/>
                <w:sz w:val="18"/>
                <w:szCs w:val="18"/>
              </w:rPr>
              <w:br w:type="page"/>
            </w:r>
            <w:r w:rsidRPr="00E263B0">
              <w:rPr>
                <w:rFonts w:eastAsia="Times New Roman" w:cstheme="minorHAnsi"/>
                <w:sz w:val="20"/>
                <w:szCs w:val="20"/>
                <w:lang w:eastAsia="it-IT"/>
              </w:rPr>
              <w:t>INDICI</w:t>
            </w:r>
          </w:p>
        </w:tc>
        <w:tc>
          <w:tcPr>
            <w:tcW w:w="1503" w:type="dxa"/>
            <w:gridSpan w:val="2"/>
            <w:shd w:val="clear" w:color="auto" w:fill="000099"/>
            <w:noWrap/>
            <w:tcMar>
              <w:left w:w="0" w:type="dxa"/>
              <w:right w:w="0" w:type="dxa"/>
            </w:tcMar>
            <w:vAlign w:val="center"/>
            <w:hideMark/>
          </w:tcPr>
          <w:p w14:paraId="161BA9EE" w14:textId="77777777" w:rsidR="00160C6E" w:rsidRPr="00E263B0" w:rsidRDefault="00160C6E" w:rsidP="0041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0 a 350</w:t>
            </w:r>
          </w:p>
        </w:tc>
        <w:tc>
          <w:tcPr>
            <w:tcW w:w="1504" w:type="dxa"/>
            <w:gridSpan w:val="2"/>
            <w:shd w:val="clear" w:color="auto" w:fill="000099"/>
            <w:noWrap/>
            <w:tcMar>
              <w:left w:w="0" w:type="dxa"/>
              <w:right w:w="0" w:type="dxa"/>
            </w:tcMar>
            <w:vAlign w:val="center"/>
            <w:hideMark/>
          </w:tcPr>
          <w:p w14:paraId="3E52C2CA" w14:textId="77777777" w:rsidR="00160C6E" w:rsidRPr="00E263B0" w:rsidRDefault="00160C6E" w:rsidP="0041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350 a 2.000</w:t>
            </w:r>
          </w:p>
        </w:tc>
        <w:tc>
          <w:tcPr>
            <w:tcW w:w="1503" w:type="dxa"/>
            <w:gridSpan w:val="2"/>
            <w:shd w:val="clear" w:color="auto" w:fill="000099"/>
            <w:noWrap/>
            <w:tcMar>
              <w:left w:w="0" w:type="dxa"/>
              <w:right w:w="0" w:type="dxa"/>
            </w:tcMar>
            <w:vAlign w:val="center"/>
            <w:hideMark/>
          </w:tcPr>
          <w:p w14:paraId="0807831F" w14:textId="77777777" w:rsidR="00160C6E" w:rsidRPr="00E263B0" w:rsidRDefault="00160C6E" w:rsidP="0041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Da 2.000 a 10.000</w:t>
            </w:r>
          </w:p>
        </w:tc>
        <w:tc>
          <w:tcPr>
            <w:tcW w:w="1504" w:type="dxa"/>
            <w:gridSpan w:val="2"/>
            <w:shd w:val="clear" w:color="auto" w:fill="000099"/>
            <w:noWrap/>
            <w:tcMar>
              <w:left w:w="0" w:type="dxa"/>
              <w:right w:w="0" w:type="dxa"/>
            </w:tcMar>
            <w:vAlign w:val="center"/>
            <w:hideMark/>
          </w:tcPr>
          <w:p w14:paraId="233DF788" w14:textId="77777777" w:rsidR="00160C6E" w:rsidRPr="00E263B0" w:rsidRDefault="00160C6E" w:rsidP="0041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Più di 10.000</w:t>
            </w:r>
          </w:p>
        </w:tc>
        <w:tc>
          <w:tcPr>
            <w:tcW w:w="1504" w:type="dxa"/>
            <w:gridSpan w:val="2"/>
            <w:shd w:val="clear" w:color="auto" w:fill="000099"/>
            <w:noWrap/>
            <w:tcMar>
              <w:left w:w="0" w:type="dxa"/>
              <w:right w:w="0" w:type="dxa"/>
            </w:tcMar>
            <w:vAlign w:val="center"/>
            <w:hideMark/>
          </w:tcPr>
          <w:p w14:paraId="1B4DE9E2" w14:textId="31C4D867" w:rsidR="00160C6E" w:rsidRPr="00E263B0" w:rsidRDefault="00E263B0" w:rsidP="0041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aps/>
                <w:smallCaps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mallCaps/>
                <w:sz w:val="20"/>
                <w:szCs w:val="20"/>
                <w:lang w:eastAsia="it-IT"/>
              </w:rPr>
              <w:t>Tutte le società</w:t>
            </w:r>
          </w:p>
        </w:tc>
      </w:tr>
      <w:tr w:rsidR="00160C6E" w:rsidRPr="00415D2C" w14:paraId="51C38D8C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762761" w14:textId="1132F5C8" w:rsidR="00160C6E" w:rsidRPr="00E263B0" w:rsidRDefault="00160C6E" w:rsidP="00415D2C">
            <w:pP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0D19161" w14:textId="344E23BE" w:rsidR="00160C6E" w:rsidRPr="00E263B0" w:rsidRDefault="00160C6E" w:rsidP="00584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</w:t>
            </w:r>
            <w:r w:rsidR="00584358"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2C2E13F" w14:textId="12139D28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94811C5" w14:textId="63D21A3B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CDE6AE9" w14:textId="49B941B5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BB85D42" w14:textId="49E23576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ADEAD7A" w14:textId="50930030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BB20EF0" w14:textId="33CDBD9A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8F4037F" w14:textId="0F72778F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4371825" w14:textId="44832B39" w:rsidR="00160C6E" w:rsidRPr="00E263B0" w:rsidRDefault="00584358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0A62AC5" w14:textId="66397794" w:rsidR="00160C6E" w:rsidRPr="00E263B0" w:rsidRDefault="00160C6E" w:rsidP="00415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  <w:r w:rsidR="00584358" w:rsidRPr="00E263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</w:tr>
      <w:tr w:rsidR="00584358" w:rsidRPr="00415D2C" w14:paraId="4792568F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561A26B9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liquidità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C7281" w14:textId="3521A7DD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1,046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19CE6" w14:textId="72BC9D4A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1,296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CFBD2" w14:textId="7F771AF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1,179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58014" w14:textId="333AA04A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1,250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F6278" w14:textId="5FF04E68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1,177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18251" w14:textId="1D6CA878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1,231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267B" w14:textId="2FC0259B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1,147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E1A58" w14:textId="44B5E71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1,189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57DC2" w14:textId="00C56826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1,159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64283" w14:textId="1BB07EA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1,211</w:t>
            </w:r>
          </w:p>
        </w:tc>
      </w:tr>
      <w:tr w:rsidR="00584358" w:rsidRPr="00415D2C" w14:paraId="36B0F09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540F83EA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 xml:space="preserve">Indice di indebitamento 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448B49" w14:textId="2C14CABF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2,394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AA06335" w14:textId="4A636AD5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1,956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60AD37B" w14:textId="01EA0C66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2,997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85FC663" w14:textId="5DDCCDDA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2,802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D4AA05A" w14:textId="66D4205D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2,812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F6751C" w14:textId="2ACDF827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2,642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99E5" w14:textId="6AB7848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2,147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CD7E797" w14:textId="2FA7B727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2,117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1DC8060" w14:textId="7A9513D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2,408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8160" w14:textId="353AC01B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2,318</w:t>
            </w:r>
          </w:p>
        </w:tc>
      </w:tr>
      <w:tr w:rsidR="00584358" w:rsidRPr="00415D2C" w14:paraId="66EC78E5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3D0A5127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indebitamento a breve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80CE0" w14:textId="5D360254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0,367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2C0B2" w14:textId="4971B8DB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0,297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745E8" w14:textId="2A396617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19592" w14:textId="78BEAED7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0,414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3D609" w14:textId="13650818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0,449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6E280" w14:textId="2321A3BF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C0A0F" w14:textId="2444C7A3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0,405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DF2D" w14:textId="399ED9CD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0,393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0B9C1" w14:textId="5D8EADD6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0,422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31D6C" w14:textId="03B092D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0,402</w:t>
            </w:r>
          </w:p>
        </w:tc>
      </w:tr>
      <w:tr w:rsidR="00584358" w:rsidRPr="00415D2C" w14:paraId="4AA7E3B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8E6E008" w14:textId="18705172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indeb. a medio e lungo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C2D4987" w14:textId="39186576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0,164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06AA9D8" w14:textId="2D4A7BE5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0,149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702893A" w14:textId="4BD3C27A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7575407" w14:textId="312DEB1A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C3F8833" w14:textId="4586A305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0,109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C590FE0" w14:textId="0C136324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0,115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FC2EE3F" w14:textId="485B0ED8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D9FA" w14:textId="2C733552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0,085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0C925A8" w14:textId="2B006957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0,096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FB69610" w14:textId="2E7FC398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0,100</w:t>
            </w:r>
          </w:p>
        </w:tc>
      </w:tr>
      <w:tr w:rsidR="00584358" w:rsidRPr="00415D2C" w14:paraId="64AC108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25D7BFB8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durata media dei crediti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2C052" w14:textId="10E3438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8F8C1" w14:textId="44036287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C04B0" w14:textId="653DCDFA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CC874" w14:textId="0673DB54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2CEFF" w14:textId="3162EB04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C0A11" w14:textId="122D8DCD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B0A90" w14:textId="0445E08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10EBB" w14:textId="4C683264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DC4D" w14:textId="50E0A9F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62A92" w14:textId="3A173C2F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76</w:t>
            </w:r>
          </w:p>
        </w:tc>
      </w:tr>
      <w:tr w:rsidR="00584358" w:rsidRPr="00415D2C" w14:paraId="6A5B3D3E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8023387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durata media dei debiti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77F95E3" w14:textId="6ABAEA7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4A60920" w14:textId="7487DAD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0B8B410" w14:textId="3B737EE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8E0C6CA" w14:textId="1F7506A5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23732AF" w14:textId="186F86D4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AA054CA" w14:textId="17CB70F3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E1B4D4" w14:textId="3AC7E81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4E31523" w14:textId="3D3B0171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6AEBDC1" w14:textId="3F3AD61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8B24703" w14:textId="3598B963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79</w:t>
            </w:r>
          </w:p>
        </w:tc>
      </w:tr>
      <w:tr w:rsidR="00584358" w:rsidRPr="00415D2C" w14:paraId="026BACEA" w14:textId="77777777" w:rsidTr="008D25E1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vAlign w:val="center"/>
            <w:hideMark/>
          </w:tcPr>
          <w:p w14:paraId="494956CE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Indice di rotazione del capitale investito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3EA2A" w14:textId="69936875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0,345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B121E" w14:textId="4D198B41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0,315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2DFF7" w14:textId="674A67B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0,917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6E31E" w14:textId="6294BBAE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0,895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3CE50" w14:textId="7BEE5118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1,023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EB9CA" w14:textId="15A68100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1,006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A555A" w14:textId="00B8EDCB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FE71" w14:textId="4DC50A73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1,035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5F6FD" w14:textId="6BB6E984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1,010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12741" w14:textId="42EC5BB7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0,994</w:t>
            </w:r>
          </w:p>
        </w:tc>
      </w:tr>
      <w:tr w:rsidR="00584358" w:rsidRPr="00415D2C" w14:paraId="7CF0B8F0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7D542F4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ROE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B768274" w14:textId="633FD831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5,4%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C7777A1" w14:textId="2AE6585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11,8%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2E352D03" w14:textId="4A4E131A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90C978B" w14:textId="16847D0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13,1%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31E85F8" w14:textId="639DE10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45061FBC" w14:textId="302330B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14,0%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4253" w14:textId="2E095104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12,9%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6891828" w14:textId="5FE314A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470A49A" w14:textId="1C7AB9D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12,9%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0677B44" w14:textId="42895DC2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13,5%</w:t>
            </w:r>
          </w:p>
        </w:tc>
      </w:tr>
      <w:tr w:rsidR="00584358" w:rsidRPr="00415D2C" w14:paraId="657AFEF9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39F3DC34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ROA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38B09" w14:textId="3C717B03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2,7%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9B170" w14:textId="6A9D267A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4,7%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8CF03" w14:textId="29915E8D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A57D7" w14:textId="155560FA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8C452" w14:textId="561F9B2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06950" w14:textId="5D396900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4EEA4" w14:textId="44DF762C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3D57C" w14:textId="69F635F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1A99A" w14:textId="4B608586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42B39" w14:textId="048A2CD2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7,5%</w:t>
            </w:r>
          </w:p>
        </w:tc>
      </w:tr>
      <w:tr w:rsidR="00584358" w:rsidRPr="00415D2C" w14:paraId="6C59EEF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A948B6C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ROI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7676" w14:textId="707091C9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5,1%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F8E90F8" w14:textId="70899251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3B5C3690" w14:textId="0749820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FC31" w14:textId="1D7E73D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9C8C164" w14:textId="11952C9E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751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5AFC7C8" w14:textId="245D0B3A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90352B" w14:textId="1341D425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E54BA03" w14:textId="0B65D578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12,7%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3710DFD" w14:textId="0DB8077C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13,3%</w:t>
            </w:r>
          </w:p>
        </w:tc>
        <w:tc>
          <w:tcPr>
            <w:tcW w:w="752" w:type="dxa"/>
            <w:tcBorders>
              <w:top w:val="none" w:sz="0" w:space="0" w:color="auto"/>
              <w:bottom w:val="none" w:sz="0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33250FD" w14:textId="75CDEDBD" w:rsidR="00584358" w:rsidRPr="00E263B0" w:rsidRDefault="00584358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12,9%</w:t>
            </w:r>
          </w:p>
        </w:tc>
      </w:tr>
      <w:tr w:rsidR="00584358" w:rsidRPr="00415D2C" w14:paraId="0897F448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  <w:tcBorders>
              <w:right w:val="none" w:sz="0" w:space="0" w:color="auto"/>
            </w:tcBorders>
            <w:noWrap/>
            <w:vAlign w:val="center"/>
            <w:hideMark/>
          </w:tcPr>
          <w:p w14:paraId="5130AFA0" w14:textId="77777777" w:rsidR="00584358" w:rsidRPr="00E263B0" w:rsidRDefault="00584358" w:rsidP="00D12833">
            <w:pPr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eastAsia="Times New Roman" w:cstheme="minorHAnsi"/>
                <w:b w:val="0"/>
                <w:bCs w:val="0"/>
                <w:color w:val="000000"/>
                <w:sz w:val="18"/>
                <w:szCs w:val="18"/>
                <w:lang w:eastAsia="it-IT"/>
              </w:rPr>
              <w:t>ROS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E74C0" w14:textId="710E1C9B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7,9%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1CB9C" w14:textId="6A21474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15,0%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CDBB0" w14:textId="59EA94B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7,1%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4DBBD" w14:textId="3249E1F5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E8B3E" w14:textId="3A3AB0D8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751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0C275" w14:textId="0CA95293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7,3%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0E2C9" w14:textId="3DD54991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92284" w14:textId="138228F0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7,5%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E1892" w14:textId="774AA419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7,4%</w:t>
            </w:r>
          </w:p>
        </w:tc>
        <w:tc>
          <w:tcPr>
            <w:tcW w:w="752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13AC3" w14:textId="0AE0042B" w:rsidR="00584358" w:rsidRPr="00E263B0" w:rsidRDefault="00584358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263B0">
              <w:rPr>
                <w:rFonts w:ascii="Calibri" w:hAnsi="Calibri" w:cstheme="minorHAnsi"/>
                <w:color w:val="000000"/>
                <w:sz w:val="18"/>
                <w:szCs w:val="18"/>
              </w:rPr>
              <w:t>7,5%</w:t>
            </w:r>
          </w:p>
        </w:tc>
      </w:tr>
    </w:tbl>
    <w:p w14:paraId="4C37DF25" w14:textId="09210CF7" w:rsidR="00753248" w:rsidRPr="00753248" w:rsidRDefault="00753248" w:rsidP="008D25E1">
      <w:pPr>
        <w:pStyle w:val="Titolo2"/>
        <w:spacing w:before="360"/>
        <w:rPr>
          <w:rFonts w:cs="Times New Roman"/>
          <w:iCs/>
        </w:rPr>
      </w:pPr>
      <w:bookmarkStart w:id="24" w:name="_Toc25058701"/>
      <w:bookmarkStart w:id="25" w:name="_Toc64210254"/>
      <w:r w:rsidRPr="00753248">
        <w:rPr>
          <w:i/>
          <w:iCs/>
        </w:rPr>
        <w:t>Tabella 1</w:t>
      </w:r>
      <w:r w:rsidR="00E90F3A">
        <w:rPr>
          <w:i/>
          <w:iCs/>
        </w:rPr>
        <w:t>0</w:t>
      </w:r>
      <w:r w:rsidRPr="00753248">
        <w:t xml:space="preserve"> </w:t>
      </w:r>
      <w:r w:rsidR="00351EE8">
        <w:t>-</w:t>
      </w:r>
      <w:r w:rsidRPr="00753248">
        <w:t xml:space="preserve"> Indici di bilancio: ROE e ROI per singolo</w:t>
      </w:r>
      <w:r w:rsidR="001408D5">
        <w:t xml:space="preserve"> comparto industriale. Anni 2019</w:t>
      </w:r>
      <w:r w:rsidRPr="00753248">
        <w:t>-201</w:t>
      </w:r>
      <w:bookmarkEnd w:id="24"/>
      <w:r w:rsidR="001408D5">
        <w:t>8</w:t>
      </w:r>
      <w:bookmarkEnd w:id="25"/>
    </w:p>
    <w:tbl>
      <w:tblPr>
        <w:tblStyle w:val="Tabellaelenco3-colore11"/>
        <w:tblW w:w="5000" w:type="pct"/>
        <w:tblBorders>
          <w:top w:val="single" w:sz="4" w:space="0" w:color="000099"/>
          <w:left w:val="none" w:sz="0" w:space="0" w:color="auto"/>
          <w:bottom w:val="single" w:sz="4" w:space="0" w:color="000099"/>
          <w:right w:val="none" w:sz="0" w:space="0" w:color="auto"/>
          <w:insideH w:val="single" w:sz="4" w:space="0" w:color="000099"/>
        </w:tblBorders>
        <w:tblLook w:val="04A0" w:firstRow="1" w:lastRow="0" w:firstColumn="1" w:lastColumn="0" w:noHBand="0" w:noVBand="1"/>
      </w:tblPr>
      <w:tblGrid>
        <w:gridCol w:w="2862"/>
        <w:gridCol w:w="1553"/>
        <w:gridCol w:w="1553"/>
        <w:gridCol w:w="1553"/>
        <w:gridCol w:w="1549"/>
      </w:tblGrid>
      <w:tr w:rsidR="00753248" w:rsidRPr="00753248" w14:paraId="21D42704" w14:textId="77777777" w:rsidTr="008D2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8" w:type="pct"/>
            <w:vMerge w:val="restart"/>
            <w:tcBorders>
              <w:bottom w:val="none" w:sz="0" w:space="0" w:color="auto"/>
              <w:right w:val="none" w:sz="0" w:space="0" w:color="auto"/>
            </w:tcBorders>
            <w:shd w:val="clear" w:color="auto" w:fill="000099"/>
            <w:noWrap/>
            <w:vAlign w:val="center"/>
            <w:hideMark/>
          </w:tcPr>
          <w:p w14:paraId="1B8832D1" w14:textId="070C5A7C" w:rsidR="00D12833" w:rsidRPr="00E263B0" w:rsidRDefault="00D17EB8" w:rsidP="00C528DB">
            <w:pP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COMPARTI PRODUTTIVI</w:t>
            </w:r>
          </w:p>
        </w:tc>
        <w:tc>
          <w:tcPr>
            <w:tcW w:w="1711" w:type="pct"/>
            <w:gridSpan w:val="2"/>
            <w:shd w:val="clear" w:color="auto" w:fill="000099"/>
            <w:noWrap/>
            <w:vAlign w:val="center"/>
            <w:hideMark/>
          </w:tcPr>
          <w:p w14:paraId="53123146" w14:textId="77777777" w:rsidR="00D12833" w:rsidRPr="00E263B0" w:rsidRDefault="00D12833" w:rsidP="00D12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ROI</w:t>
            </w:r>
          </w:p>
        </w:tc>
        <w:tc>
          <w:tcPr>
            <w:tcW w:w="1711" w:type="pct"/>
            <w:gridSpan w:val="2"/>
            <w:shd w:val="clear" w:color="auto" w:fill="000099"/>
            <w:noWrap/>
            <w:vAlign w:val="center"/>
            <w:hideMark/>
          </w:tcPr>
          <w:p w14:paraId="7BF930DA" w14:textId="77777777" w:rsidR="00D12833" w:rsidRPr="00E263B0" w:rsidRDefault="00D12833" w:rsidP="00D128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ROE</w:t>
            </w:r>
          </w:p>
        </w:tc>
      </w:tr>
      <w:tr w:rsidR="00D12833" w:rsidRPr="00D12833" w14:paraId="6A2772F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2E975D4" w14:textId="77777777" w:rsidR="00D12833" w:rsidRPr="00E263B0" w:rsidRDefault="00D12833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15A3AC1" w14:textId="7D7F9CB7" w:rsidR="00D12833" w:rsidRPr="00E263B0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D8CD7CD" w14:textId="6D3F1874" w:rsidR="00D12833" w:rsidRPr="00E263B0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F3FBD92" w14:textId="6A78735A" w:rsidR="00D12833" w:rsidRPr="00E263B0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B586BAB" w14:textId="56D3CB14" w:rsidR="00D12833" w:rsidRPr="00E263B0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263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2018</w:t>
            </w:r>
          </w:p>
        </w:tc>
      </w:tr>
      <w:tr w:rsidR="001408D5" w:rsidRPr="00D12833" w14:paraId="16E6CD9C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06721A2B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alimentari, bevande e del tabacco</w:t>
            </w:r>
          </w:p>
        </w:tc>
        <w:tc>
          <w:tcPr>
            <w:tcW w:w="856" w:type="pct"/>
            <w:noWrap/>
            <w:vAlign w:val="center"/>
            <w:hideMark/>
          </w:tcPr>
          <w:p w14:paraId="62628C15" w14:textId="1449ECF6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10,0%</w:t>
            </w:r>
          </w:p>
        </w:tc>
        <w:tc>
          <w:tcPr>
            <w:tcW w:w="856" w:type="pct"/>
            <w:noWrap/>
            <w:vAlign w:val="center"/>
            <w:hideMark/>
          </w:tcPr>
          <w:p w14:paraId="79A4DEC3" w14:textId="6D2DFF22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10,1%</w:t>
            </w:r>
          </w:p>
        </w:tc>
        <w:tc>
          <w:tcPr>
            <w:tcW w:w="856" w:type="pct"/>
            <w:noWrap/>
            <w:vAlign w:val="center"/>
            <w:hideMark/>
          </w:tcPr>
          <w:p w14:paraId="4502D693" w14:textId="0C522E9E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10,6%</w:t>
            </w:r>
          </w:p>
        </w:tc>
        <w:tc>
          <w:tcPr>
            <w:tcW w:w="856" w:type="pct"/>
            <w:noWrap/>
            <w:vAlign w:val="center"/>
            <w:hideMark/>
          </w:tcPr>
          <w:p w14:paraId="18EEA96F" w14:textId="07F08340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10,5%</w:t>
            </w:r>
          </w:p>
        </w:tc>
      </w:tr>
      <w:tr w:rsidR="001408D5" w:rsidRPr="00D12833" w14:paraId="75FB3D08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F6A9BAF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Industrie tessili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7E36364" w14:textId="49BA5A8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968AC7F" w14:textId="7E0A30F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FAE74AE" w14:textId="3645B21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15,9%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2BF0A4F" w14:textId="37CCEBF8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13,9%</w:t>
            </w:r>
          </w:p>
        </w:tc>
      </w:tr>
      <w:tr w:rsidR="001408D5" w:rsidRPr="00D12833" w14:paraId="34BF11AD" w14:textId="77777777" w:rsidTr="008D25E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42614EEC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Confezione di articoli di abbigliamento; confezione di articoli in pelle e pelliccia</w:t>
            </w:r>
          </w:p>
        </w:tc>
        <w:tc>
          <w:tcPr>
            <w:tcW w:w="856" w:type="pct"/>
            <w:noWrap/>
            <w:vAlign w:val="center"/>
            <w:hideMark/>
          </w:tcPr>
          <w:p w14:paraId="2A1D9D9C" w14:textId="574B1B55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16,2%</w:t>
            </w:r>
          </w:p>
        </w:tc>
        <w:tc>
          <w:tcPr>
            <w:tcW w:w="856" w:type="pct"/>
            <w:noWrap/>
            <w:vAlign w:val="center"/>
            <w:hideMark/>
          </w:tcPr>
          <w:p w14:paraId="4D343666" w14:textId="61BEB417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16,5%</w:t>
            </w:r>
          </w:p>
        </w:tc>
        <w:tc>
          <w:tcPr>
            <w:tcW w:w="856" w:type="pct"/>
            <w:noWrap/>
            <w:vAlign w:val="center"/>
            <w:hideMark/>
          </w:tcPr>
          <w:p w14:paraId="6717C0E4" w14:textId="358D4A4C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856" w:type="pct"/>
            <w:noWrap/>
            <w:vAlign w:val="center"/>
            <w:hideMark/>
          </w:tcPr>
          <w:p w14:paraId="154FE2DE" w14:textId="1AC27086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16,0%</w:t>
            </w:r>
          </w:p>
        </w:tc>
      </w:tr>
      <w:tr w:rsidR="001408D5" w:rsidRPr="00D12833" w14:paraId="195957E9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115E813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pelle e simili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074ECA7" w14:textId="76A2FE8F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21,5%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0A7B503" w14:textId="0CF2B5C0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19,6%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CD7EE9C" w14:textId="07C623CE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21,1%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2E9AB31" w14:textId="7085B94B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19,7%</w:t>
            </w:r>
          </w:p>
        </w:tc>
      </w:tr>
      <w:tr w:rsidR="001408D5" w:rsidRPr="00D12833" w14:paraId="6F220E3C" w14:textId="77777777" w:rsidTr="008D25E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138E48B5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Industria del legno e dei prodotti in legno e sughero (esclusi i mobili); fabbricazione di articoli in paglia e materiali da intreccio</w:t>
            </w:r>
          </w:p>
        </w:tc>
        <w:tc>
          <w:tcPr>
            <w:tcW w:w="856" w:type="pct"/>
            <w:noWrap/>
            <w:vAlign w:val="center"/>
            <w:hideMark/>
          </w:tcPr>
          <w:p w14:paraId="54881108" w14:textId="234BB172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10,5%</w:t>
            </w:r>
          </w:p>
        </w:tc>
        <w:tc>
          <w:tcPr>
            <w:tcW w:w="856" w:type="pct"/>
            <w:noWrap/>
            <w:vAlign w:val="center"/>
            <w:hideMark/>
          </w:tcPr>
          <w:p w14:paraId="0302527A" w14:textId="0B215718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9,9%</w:t>
            </w:r>
          </w:p>
        </w:tc>
        <w:tc>
          <w:tcPr>
            <w:tcW w:w="856" w:type="pct"/>
            <w:noWrap/>
            <w:vAlign w:val="center"/>
            <w:hideMark/>
          </w:tcPr>
          <w:p w14:paraId="0B22BB62" w14:textId="1F2BD547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10,4%</w:t>
            </w:r>
          </w:p>
        </w:tc>
        <w:tc>
          <w:tcPr>
            <w:tcW w:w="856" w:type="pct"/>
            <w:noWrap/>
            <w:vAlign w:val="center"/>
            <w:hideMark/>
          </w:tcPr>
          <w:p w14:paraId="4E7B66C2" w14:textId="2C46484C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8,6%</w:t>
            </w:r>
          </w:p>
        </w:tc>
      </w:tr>
      <w:tr w:rsidR="001408D5" w:rsidRPr="00D12833" w14:paraId="52A20222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088908B0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carta e di prodotti di carta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C1F0934" w14:textId="6884D324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13,0%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DB0CB63" w14:textId="3417EE68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27750FC" w14:textId="4C8A8370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66A99FA" w14:textId="758AE924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12,6%</w:t>
            </w:r>
          </w:p>
        </w:tc>
      </w:tr>
      <w:tr w:rsidR="001408D5" w:rsidRPr="00D12833" w14:paraId="77D60097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2C38A4ED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Stampa e riproduzione di supporti registrati</w:t>
            </w:r>
          </w:p>
        </w:tc>
        <w:tc>
          <w:tcPr>
            <w:tcW w:w="856" w:type="pct"/>
            <w:noWrap/>
            <w:vAlign w:val="center"/>
            <w:hideMark/>
          </w:tcPr>
          <w:p w14:paraId="141BD205" w14:textId="586D59D6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856" w:type="pct"/>
            <w:noWrap/>
            <w:vAlign w:val="center"/>
            <w:hideMark/>
          </w:tcPr>
          <w:p w14:paraId="0A54CCF5" w14:textId="370E4CF9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12,0%</w:t>
            </w:r>
          </w:p>
        </w:tc>
        <w:tc>
          <w:tcPr>
            <w:tcW w:w="856" w:type="pct"/>
            <w:noWrap/>
            <w:vAlign w:val="center"/>
            <w:hideMark/>
          </w:tcPr>
          <w:p w14:paraId="72477CE3" w14:textId="673A0D70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12,2%</w:t>
            </w:r>
          </w:p>
        </w:tc>
        <w:tc>
          <w:tcPr>
            <w:tcW w:w="856" w:type="pct"/>
            <w:noWrap/>
            <w:vAlign w:val="center"/>
            <w:hideMark/>
          </w:tcPr>
          <w:p w14:paraId="3B8EFEE9" w14:textId="7BE958FB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11,7%</w:t>
            </w:r>
          </w:p>
        </w:tc>
      </w:tr>
      <w:tr w:rsidR="001408D5" w:rsidRPr="00D12833" w14:paraId="213968B5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7E199CA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coke e prodotti derivanti dalla raffinazione del petrolio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4D5BAD1" w14:textId="357125F1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6,6%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66CB500" w14:textId="56891A99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5,5%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3688902" w14:textId="58B9BC2B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5,8%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C5CDA8E" w14:textId="5F67130F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5,1%</w:t>
            </w:r>
          </w:p>
        </w:tc>
      </w:tr>
      <w:tr w:rsidR="001408D5" w:rsidRPr="00D12833" w14:paraId="3CDAE9C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3272A98B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chimici</w:t>
            </w:r>
          </w:p>
        </w:tc>
        <w:tc>
          <w:tcPr>
            <w:tcW w:w="856" w:type="pct"/>
            <w:noWrap/>
            <w:vAlign w:val="center"/>
            <w:hideMark/>
          </w:tcPr>
          <w:p w14:paraId="73DEFF67" w14:textId="5D58705F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16,5%</w:t>
            </w:r>
          </w:p>
        </w:tc>
        <w:tc>
          <w:tcPr>
            <w:tcW w:w="856" w:type="pct"/>
            <w:noWrap/>
            <w:vAlign w:val="center"/>
            <w:hideMark/>
          </w:tcPr>
          <w:p w14:paraId="4CF8FE50" w14:textId="1DC2A2F7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16,9%</w:t>
            </w:r>
          </w:p>
        </w:tc>
        <w:tc>
          <w:tcPr>
            <w:tcW w:w="856" w:type="pct"/>
            <w:noWrap/>
            <w:vAlign w:val="center"/>
            <w:hideMark/>
          </w:tcPr>
          <w:p w14:paraId="0741327C" w14:textId="4D687104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16,7%</w:t>
            </w:r>
          </w:p>
        </w:tc>
        <w:tc>
          <w:tcPr>
            <w:tcW w:w="856" w:type="pct"/>
            <w:noWrap/>
            <w:vAlign w:val="center"/>
            <w:hideMark/>
          </w:tcPr>
          <w:p w14:paraId="6B3A7657" w14:textId="21495A19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16,4%</w:t>
            </w:r>
          </w:p>
        </w:tc>
      </w:tr>
      <w:tr w:rsidR="001408D5" w:rsidRPr="00D12833" w14:paraId="12DF0C47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5467E96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farmaceutici di base e di preparate farmaceutici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C73026D" w14:textId="550DC5B6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3109CF" w14:textId="59C7E260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5B520790" w14:textId="2D01992E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17,4%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4F91672" w14:textId="07F219D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10,8%</w:t>
            </w:r>
          </w:p>
        </w:tc>
      </w:tr>
      <w:tr w:rsidR="001408D5" w:rsidRPr="00D12833" w14:paraId="07170673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11E6B2D3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articoli in gomma e materie plastiche</w:t>
            </w:r>
          </w:p>
        </w:tc>
        <w:tc>
          <w:tcPr>
            <w:tcW w:w="856" w:type="pct"/>
            <w:noWrap/>
            <w:vAlign w:val="center"/>
            <w:hideMark/>
          </w:tcPr>
          <w:p w14:paraId="5A66F083" w14:textId="48E0A345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13,1%</w:t>
            </w:r>
          </w:p>
        </w:tc>
        <w:tc>
          <w:tcPr>
            <w:tcW w:w="856" w:type="pct"/>
            <w:noWrap/>
            <w:vAlign w:val="center"/>
            <w:hideMark/>
          </w:tcPr>
          <w:p w14:paraId="3A25C3B5" w14:textId="13392C86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856" w:type="pct"/>
            <w:noWrap/>
            <w:vAlign w:val="center"/>
            <w:hideMark/>
          </w:tcPr>
          <w:p w14:paraId="55D1C2BB" w14:textId="7522032A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13,8%</w:t>
            </w:r>
          </w:p>
        </w:tc>
        <w:tc>
          <w:tcPr>
            <w:tcW w:w="856" w:type="pct"/>
            <w:noWrap/>
            <w:vAlign w:val="center"/>
            <w:hideMark/>
          </w:tcPr>
          <w:p w14:paraId="6B2860D0" w14:textId="1FEBD215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13,9%</w:t>
            </w:r>
          </w:p>
        </w:tc>
      </w:tr>
      <w:tr w:rsidR="001408D5" w:rsidRPr="00D12833" w14:paraId="2EFE6D2F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95F190F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prodotti della lavorazione di minerali non metalliferi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0511F86" w14:textId="22B06F2E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9,8%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3335807" w14:textId="2C97DB71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13C50A98" w14:textId="64DA002A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9,1%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9341B0D" w14:textId="6ABE157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8,5%</w:t>
            </w:r>
          </w:p>
        </w:tc>
      </w:tr>
      <w:tr w:rsidR="001408D5" w:rsidRPr="00D12833" w14:paraId="0C97A400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71AF6509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lastRenderedPageBreak/>
              <w:t>Metallurgia</w:t>
            </w:r>
          </w:p>
        </w:tc>
        <w:tc>
          <w:tcPr>
            <w:tcW w:w="856" w:type="pct"/>
            <w:noWrap/>
            <w:vAlign w:val="center"/>
            <w:hideMark/>
          </w:tcPr>
          <w:p w14:paraId="70C3F69D" w14:textId="576F405A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8,7%</w:t>
            </w:r>
          </w:p>
        </w:tc>
        <w:tc>
          <w:tcPr>
            <w:tcW w:w="856" w:type="pct"/>
            <w:noWrap/>
            <w:vAlign w:val="center"/>
            <w:hideMark/>
          </w:tcPr>
          <w:p w14:paraId="28D8D80D" w14:textId="648E7D42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7,8%</w:t>
            </w:r>
          </w:p>
        </w:tc>
        <w:tc>
          <w:tcPr>
            <w:tcW w:w="856" w:type="pct"/>
            <w:noWrap/>
            <w:vAlign w:val="center"/>
            <w:hideMark/>
          </w:tcPr>
          <w:p w14:paraId="21E53DAC" w14:textId="40601B27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9,7%</w:t>
            </w:r>
          </w:p>
        </w:tc>
        <w:tc>
          <w:tcPr>
            <w:tcW w:w="856" w:type="pct"/>
            <w:noWrap/>
            <w:vAlign w:val="center"/>
            <w:hideMark/>
          </w:tcPr>
          <w:p w14:paraId="727BA5E1" w14:textId="5A4C2B0C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9,8%</w:t>
            </w:r>
          </w:p>
        </w:tc>
      </w:tr>
      <w:tr w:rsidR="001408D5" w:rsidRPr="00D12833" w14:paraId="019A88CB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07B3FD6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prodotti in metallo (esclusi macchinari e attrezzature)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034CB230" w14:textId="5283681B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05C8CD1" w14:textId="55BD3C2D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14,8%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992FC4D" w14:textId="2637A4E0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13,6%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6E606AA" w14:textId="4FAEDD21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14,5%</w:t>
            </w:r>
          </w:p>
        </w:tc>
      </w:tr>
      <w:tr w:rsidR="001408D5" w:rsidRPr="00D12833" w14:paraId="7FBE9612" w14:textId="77777777" w:rsidTr="008D25E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207E8FD7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computer e prodotti di elettronica e ottica; apparecchi elettromedicali, apparecchi di misurazione e di orologi</w:t>
            </w:r>
          </w:p>
        </w:tc>
        <w:tc>
          <w:tcPr>
            <w:tcW w:w="856" w:type="pct"/>
            <w:noWrap/>
            <w:vAlign w:val="center"/>
            <w:hideMark/>
          </w:tcPr>
          <w:p w14:paraId="3260F882" w14:textId="1F70CF41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14,1%</w:t>
            </w:r>
          </w:p>
        </w:tc>
        <w:tc>
          <w:tcPr>
            <w:tcW w:w="856" w:type="pct"/>
            <w:noWrap/>
            <w:vAlign w:val="center"/>
            <w:hideMark/>
          </w:tcPr>
          <w:p w14:paraId="4D2A6A8E" w14:textId="30C78A81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14,2%</w:t>
            </w:r>
          </w:p>
        </w:tc>
        <w:tc>
          <w:tcPr>
            <w:tcW w:w="856" w:type="pct"/>
            <w:noWrap/>
            <w:vAlign w:val="center"/>
            <w:hideMark/>
          </w:tcPr>
          <w:p w14:paraId="6F46AB2D" w14:textId="502E5B94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15,8%</w:t>
            </w:r>
          </w:p>
        </w:tc>
        <w:tc>
          <w:tcPr>
            <w:tcW w:w="856" w:type="pct"/>
            <w:noWrap/>
            <w:vAlign w:val="center"/>
            <w:hideMark/>
          </w:tcPr>
          <w:p w14:paraId="0521E0ED" w14:textId="3EE32E4E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</w:tr>
      <w:tr w:rsidR="001408D5" w:rsidRPr="00D12833" w14:paraId="5398F140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D9036A9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apparecchiature elettriche ed apparecchiature per uso domestico non elettriche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308DD0A1" w14:textId="02CED006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B898528" w14:textId="07ACA47C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5C6331C" w14:textId="7324E2F5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14,6%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FA3A25F" w14:textId="1F4B8259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14,0%</w:t>
            </w:r>
          </w:p>
        </w:tc>
      </w:tr>
      <w:tr w:rsidR="001408D5" w:rsidRPr="00D12833" w14:paraId="74C982C2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2D6BFCD1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macchinari ed apparecchiature nca</w:t>
            </w:r>
          </w:p>
        </w:tc>
        <w:tc>
          <w:tcPr>
            <w:tcW w:w="856" w:type="pct"/>
            <w:noWrap/>
            <w:vAlign w:val="center"/>
            <w:hideMark/>
          </w:tcPr>
          <w:p w14:paraId="22CEAC3A" w14:textId="244D9EEE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15,2%</w:t>
            </w:r>
          </w:p>
        </w:tc>
        <w:tc>
          <w:tcPr>
            <w:tcW w:w="856" w:type="pct"/>
            <w:noWrap/>
            <w:vAlign w:val="center"/>
            <w:hideMark/>
          </w:tcPr>
          <w:p w14:paraId="6DB1FFCA" w14:textId="5A1F003F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  <w:tc>
          <w:tcPr>
            <w:tcW w:w="856" w:type="pct"/>
            <w:noWrap/>
            <w:vAlign w:val="center"/>
            <w:hideMark/>
          </w:tcPr>
          <w:p w14:paraId="60AED69A" w14:textId="685D9EAD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14,3%</w:t>
            </w:r>
          </w:p>
        </w:tc>
        <w:tc>
          <w:tcPr>
            <w:tcW w:w="856" w:type="pct"/>
            <w:noWrap/>
            <w:vAlign w:val="center"/>
            <w:hideMark/>
          </w:tcPr>
          <w:p w14:paraId="2E6BB347" w14:textId="3003B158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13,4%</w:t>
            </w:r>
          </w:p>
        </w:tc>
      </w:tr>
      <w:tr w:rsidR="001408D5" w:rsidRPr="00D12833" w14:paraId="5454FFDA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1AA2FC1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autoveicoli, rimorchi e semirimorchi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8F6F2E1" w14:textId="4C22998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11,3%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4D06DA5" w14:textId="57755E58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12,4%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B0B067D" w14:textId="4427EE02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11,2%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104E86A" w14:textId="750FDC27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13,1%</w:t>
            </w:r>
          </w:p>
        </w:tc>
      </w:tr>
      <w:tr w:rsidR="001408D5" w:rsidRPr="00D12833" w14:paraId="5108BBAB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5BE823C3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altri mezzi di trasporto</w:t>
            </w:r>
          </w:p>
        </w:tc>
        <w:tc>
          <w:tcPr>
            <w:tcW w:w="856" w:type="pct"/>
            <w:noWrap/>
            <w:vAlign w:val="center"/>
            <w:hideMark/>
          </w:tcPr>
          <w:p w14:paraId="73B0DA4F" w14:textId="7D6ADEB5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856" w:type="pct"/>
            <w:noWrap/>
            <w:vAlign w:val="center"/>
            <w:hideMark/>
          </w:tcPr>
          <w:p w14:paraId="62B40D2C" w14:textId="6D0DA6AE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8,8%</w:t>
            </w:r>
          </w:p>
        </w:tc>
        <w:tc>
          <w:tcPr>
            <w:tcW w:w="856" w:type="pct"/>
            <w:noWrap/>
            <w:vAlign w:val="center"/>
            <w:hideMark/>
          </w:tcPr>
          <w:p w14:paraId="306A3038" w14:textId="51E49700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5,8%</w:t>
            </w:r>
          </w:p>
        </w:tc>
        <w:tc>
          <w:tcPr>
            <w:tcW w:w="856" w:type="pct"/>
            <w:noWrap/>
            <w:vAlign w:val="center"/>
            <w:hideMark/>
          </w:tcPr>
          <w:p w14:paraId="74C8A903" w14:textId="0EFDD98D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7,3%</w:t>
            </w:r>
          </w:p>
        </w:tc>
      </w:tr>
      <w:tr w:rsidR="001408D5" w:rsidRPr="00D12833" w14:paraId="07D39F7A" w14:textId="77777777" w:rsidTr="008D2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57147865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Fabbricazione di mobili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75B9C66" w14:textId="1012395A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08BC980" w14:textId="70067B8F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12,8%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2DBE022D" w14:textId="144FE40B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6D66478B" w14:textId="1C2E9A65" w:rsidR="001408D5" w:rsidRPr="001408D5" w:rsidRDefault="001408D5" w:rsidP="00D1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12,3%</w:t>
            </w:r>
          </w:p>
        </w:tc>
      </w:tr>
      <w:tr w:rsidR="001408D5" w:rsidRPr="00D12833" w14:paraId="0BFFD044" w14:textId="77777777" w:rsidTr="008D25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tcBorders>
              <w:right w:val="none" w:sz="0" w:space="0" w:color="auto"/>
            </w:tcBorders>
            <w:vAlign w:val="center"/>
            <w:hideMark/>
          </w:tcPr>
          <w:p w14:paraId="5C99C816" w14:textId="77777777" w:rsidR="001408D5" w:rsidRPr="00D12833" w:rsidRDefault="001408D5" w:rsidP="00D1283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</w:pPr>
            <w:r w:rsidRPr="00D12833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it-IT"/>
              </w:rPr>
              <w:t>Altre industrie manifatturiere</w:t>
            </w:r>
          </w:p>
        </w:tc>
        <w:tc>
          <w:tcPr>
            <w:tcW w:w="856" w:type="pct"/>
            <w:noWrap/>
            <w:vAlign w:val="center"/>
            <w:hideMark/>
          </w:tcPr>
          <w:p w14:paraId="129DD9BF" w14:textId="0913D38F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16,4%</w:t>
            </w:r>
          </w:p>
        </w:tc>
        <w:tc>
          <w:tcPr>
            <w:tcW w:w="856" w:type="pct"/>
            <w:noWrap/>
            <w:vAlign w:val="center"/>
            <w:hideMark/>
          </w:tcPr>
          <w:p w14:paraId="4CB7417D" w14:textId="35F7C3D5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17,2%</w:t>
            </w:r>
          </w:p>
        </w:tc>
        <w:tc>
          <w:tcPr>
            <w:tcW w:w="856" w:type="pct"/>
            <w:noWrap/>
            <w:vAlign w:val="center"/>
            <w:hideMark/>
          </w:tcPr>
          <w:p w14:paraId="2D582EBB" w14:textId="677A7D7D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14,7%</w:t>
            </w:r>
          </w:p>
        </w:tc>
        <w:tc>
          <w:tcPr>
            <w:tcW w:w="856" w:type="pct"/>
            <w:noWrap/>
            <w:vAlign w:val="center"/>
            <w:hideMark/>
          </w:tcPr>
          <w:p w14:paraId="2B057900" w14:textId="1775DFAA" w:rsidR="001408D5" w:rsidRPr="001408D5" w:rsidRDefault="001408D5" w:rsidP="00D1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1408D5">
              <w:rPr>
                <w:rFonts w:cstheme="minorHAnsi"/>
                <w:color w:val="000000"/>
                <w:sz w:val="18"/>
                <w:szCs w:val="18"/>
              </w:rPr>
              <w:t>15,5%</w:t>
            </w:r>
          </w:p>
        </w:tc>
      </w:tr>
    </w:tbl>
    <w:p w14:paraId="0A1B0263" w14:textId="77777777" w:rsidR="00B76E99" w:rsidRDefault="00B76E99" w:rsidP="00C528DB">
      <w:pPr>
        <w:pStyle w:val="Titolo1"/>
      </w:pPr>
      <w:bookmarkStart w:id="26" w:name="_Toc25058702"/>
      <w:r>
        <w:br w:type="page"/>
      </w:r>
    </w:p>
    <w:p w14:paraId="45C13C9B" w14:textId="470DD531" w:rsidR="00C71F07" w:rsidRDefault="00C71F07" w:rsidP="00862F74">
      <w:pPr>
        <w:pStyle w:val="Titolo1"/>
        <w:spacing w:before="240" w:line="260" w:lineRule="exact"/>
        <w:jc w:val="both"/>
      </w:pPr>
      <w:bookmarkStart w:id="27" w:name="_Toc64210255"/>
      <w:r w:rsidRPr="00C71F07">
        <w:lastRenderedPageBreak/>
        <w:t>Principali Indicatori economici e finanziari</w:t>
      </w:r>
      <w:r>
        <w:t xml:space="preserve"> per classe dimensionale</w:t>
      </w:r>
      <w:r w:rsidRPr="00C71F07">
        <w:t>:</w:t>
      </w:r>
      <w:bookmarkEnd w:id="26"/>
      <w:r w:rsidRPr="00C71F07">
        <w:t xml:space="preserve"> </w:t>
      </w:r>
      <w:bookmarkStart w:id="28" w:name="_Toc25058703"/>
      <w:r w:rsidRPr="00C71F07">
        <w:t>valori aggregati e variazioni percentuali</w:t>
      </w:r>
      <w:bookmarkEnd w:id="27"/>
      <w:bookmarkEnd w:id="28"/>
    </w:p>
    <w:p w14:paraId="04B04B07" w14:textId="7DFDE533" w:rsidR="00E85205" w:rsidRPr="00862F74" w:rsidRDefault="00E85205" w:rsidP="00E85205">
      <w:pPr>
        <w:jc w:val="both"/>
        <w:rPr>
          <w:spacing w:val="-4"/>
        </w:rPr>
      </w:pPr>
      <w:r w:rsidRPr="00862F74">
        <w:rPr>
          <w:spacing w:val="-4"/>
        </w:rPr>
        <w:t>I dati riportati nelle tabelle seguenti sono riferiti alle Srl con patrimonio netto e risultato d’esercizio positivi</w:t>
      </w:r>
      <w:r w:rsidR="00862F74">
        <w:rPr>
          <w:spacing w:val="-4"/>
        </w:rPr>
        <w:t>.</w:t>
      </w:r>
    </w:p>
    <w:p w14:paraId="202A83FC" w14:textId="52223725" w:rsidR="00C71F07" w:rsidRPr="00552DB7" w:rsidRDefault="00C71F07" w:rsidP="00135C30">
      <w:pPr>
        <w:pStyle w:val="Titolo2"/>
        <w:spacing w:before="180" w:after="60"/>
        <w:rPr>
          <w:rFonts w:asciiTheme="minorHAnsi" w:hAnsiTheme="minorHAnsi" w:cstheme="minorHAnsi"/>
          <w:szCs w:val="20"/>
        </w:rPr>
      </w:pPr>
      <w:bookmarkStart w:id="29" w:name="_Toc64210256"/>
      <w:r w:rsidRPr="000903A8">
        <w:rPr>
          <w:rFonts w:asciiTheme="minorHAnsi" w:hAnsiTheme="minorHAnsi" w:cstheme="minorHAnsi"/>
          <w:i/>
          <w:iCs/>
          <w:szCs w:val="20"/>
        </w:rPr>
        <w:t xml:space="preserve">Tabella </w:t>
      </w:r>
      <w:r w:rsidR="00CE0B80">
        <w:rPr>
          <w:rFonts w:asciiTheme="minorHAnsi" w:hAnsiTheme="minorHAnsi" w:cstheme="minorHAnsi"/>
          <w:i/>
          <w:iCs/>
          <w:szCs w:val="20"/>
        </w:rPr>
        <w:t>1</w:t>
      </w:r>
      <w:r w:rsidRPr="000903A8">
        <w:rPr>
          <w:rFonts w:asciiTheme="minorHAnsi" w:hAnsiTheme="minorHAnsi" w:cstheme="minorHAnsi"/>
          <w:i/>
          <w:iCs/>
          <w:szCs w:val="20"/>
        </w:rPr>
        <w:t>1</w:t>
      </w:r>
      <w:r w:rsidRPr="00552DB7">
        <w:rPr>
          <w:rFonts w:asciiTheme="minorHAnsi" w:hAnsiTheme="minorHAnsi" w:cstheme="minorHAnsi"/>
          <w:szCs w:val="20"/>
        </w:rPr>
        <w:t xml:space="preserve"> </w:t>
      </w:r>
      <w:r w:rsidR="00351EE8">
        <w:rPr>
          <w:rFonts w:asciiTheme="minorHAnsi" w:hAnsiTheme="minorHAnsi" w:cstheme="minorHAnsi"/>
          <w:szCs w:val="20"/>
        </w:rPr>
        <w:t>-</w:t>
      </w:r>
      <w:r w:rsidRPr="00552DB7">
        <w:rPr>
          <w:rFonts w:asciiTheme="minorHAnsi" w:hAnsiTheme="minorHAnsi" w:cstheme="minorHAnsi"/>
          <w:szCs w:val="20"/>
        </w:rPr>
        <w:t xml:space="preserve"> </w:t>
      </w:r>
      <w:r w:rsidR="00552DB7" w:rsidRPr="000903A8">
        <w:rPr>
          <w:rFonts w:asciiTheme="minorHAnsi" w:hAnsiTheme="minorHAnsi" w:cstheme="minorHAnsi"/>
          <w:szCs w:val="20"/>
        </w:rPr>
        <w:t>Totale imprese</w:t>
      </w:r>
      <w:bookmarkEnd w:id="29"/>
    </w:p>
    <w:tbl>
      <w:tblPr>
        <w:tblW w:w="6804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1323"/>
        <w:gridCol w:w="1323"/>
        <w:gridCol w:w="1324"/>
      </w:tblGrid>
      <w:tr w:rsidR="00310E6F" w:rsidRPr="00310E6F" w14:paraId="4CF1A1FE" w14:textId="77777777" w:rsidTr="008D25E1">
        <w:trPr>
          <w:trHeight w:hRule="exact" w:val="397"/>
        </w:trPr>
        <w:tc>
          <w:tcPr>
            <w:tcW w:w="2834" w:type="dxa"/>
            <w:shd w:val="clear" w:color="auto" w:fill="000099"/>
            <w:vAlign w:val="center"/>
            <w:hideMark/>
          </w:tcPr>
          <w:p w14:paraId="1A1618AA" w14:textId="77777777" w:rsidR="00C71F07" w:rsidRPr="00310E6F" w:rsidRDefault="00C71F07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10E6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5CBCFB7C" w14:textId="4D604B3F" w:rsidR="00C71F07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5908BA0F" w14:textId="6932A281" w:rsidR="00C71F07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4" w:type="dxa"/>
            <w:shd w:val="clear" w:color="auto" w:fill="000099"/>
            <w:vAlign w:val="center"/>
            <w:hideMark/>
          </w:tcPr>
          <w:p w14:paraId="3ED6AE83" w14:textId="07B7DB2C" w:rsidR="00C71F07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3C547A" w:rsidRPr="000A361E" w14:paraId="4A2D72E0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6CE07546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9FFDCC3" w14:textId="113791F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294.929.303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7C5190D" w14:textId="340B483B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302.782.852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F5EFD70" w14:textId="1325656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2,7%</w:t>
            </w:r>
          </w:p>
        </w:tc>
      </w:tr>
      <w:tr w:rsidR="003C547A" w:rsidRPr="000A361E" w14:paraId="0D5348EB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4C9CD643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7D4AED8" w14:textId="1AFD07F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305.868.805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5445A86" w14:textId="75CFE5B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312.333.419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A51C083" w14:textId="76A7D8F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</w:tr>
      <w:tr w:rsidR="003C547A" w:rsidRPr="000A361E" w14:paraId="0DB9CD01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4F21255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5A2E08F" w14:textId="472268F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284.002.591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48DB940" w14:textId="63E136A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289.628.517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C0883ED" w14:textId="233E6A5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</w:tr>
      <w:tr w:rsidR="003C547A" w:rsidRPr="000A361E" w14:paraId="509AAA0F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BFA51C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D209597" w14:textId="7B672EA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80.819.356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6178837" w14:textId="5915E73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84.658.658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FD16EF5" w14:textId="377F57C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4,8%</w:t>
            </w:r>
          </w:p>
        </w:tc>
      </w:tr>
      <w:tr w:rsidR="003C547A" w:rsidRPr="000A361E" w14:paraId="68A3F83D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587AE16E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D272CF2" w14:textId="744D1F8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31.281.906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2F44702" w14:textId="2CF20D3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32.793.244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05504BF" w14:textId="4FDFEFF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4,8%</w:t>
            </w:r>
          </w:p>
        </w:tc>
      </w:tr>
      <w:tr w:rsidR="003C547A" w:rsidRPr="000A361E" w14:paraId="297C76D2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757728BA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7626F56" w14:textId="4632A80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21.866.241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6563B8B" w14:textId="01895C9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22.704.937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536FC5F" w14:textId="7E8CD99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3,8%</w:t>
            </w:r>
          </w:p>
        </w:tc>
      </w:tr>
      <w:tr w:rsidR="003C547A" w:rsidRPr="000A361E" w14:paraId="300E81AF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6E71382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9E42511" w14:textId="738A76A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292.143.056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06EB18E" w14:textId="22C9513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304.621.895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19E46CB" w14:textId="1CCE3DC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</w:tr>
      <w:tr w:rsidR="003C547A" w:rsidRPr="000A361E" w14:paraId="642F5AFE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3791E94C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3AFDBF7" w14:textId="2E12249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151.245.613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C9682AD" w14:textId="0FC68B0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152.896.864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51FE8B5" w14:textId="3453F01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1,1%</w:t>
            </w:r>
          </w:p>
        </w:tc>
      </w:tr>
      <w:tr w:rsidR="003C547A" w:rsidRPr="000A361E" w14:paraId="6B4396BE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07C2AA34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2083DE5" w14:textId="1E7B906B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121.335.346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13B4C17" w14:textId="508A26B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131.387.673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AE2D649" w14:textId="0ECB6D1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8,3%</w:t>
            </w:r>
          </w:p>
        </w:tc>
      </w:tr>
      <w:tr w:rsidR="003C547A" w:rsidRPr="000A361E" w14:paraId="242C17C9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1AFAEA57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6FCD410" w14:textId="6D73425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67.335.983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C603617" w14:textId="33D7785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75.674.355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207E6C0" w14:textId="7FE74E0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12,4%</w:t>
            </w:r>
          </w:p>
        </w:tc>
      </w:tr>
      <w:tr w:rsidR="003C547A" w:rsidRPr="000A361E" w14:paraId="5323DFF8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4A995129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6CB753F" w14:textId="57830BD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13.490.623.500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65DEC8B" w14:textId="4529FD1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12.189.878.100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C4877AD" w14:textId="79F2109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-9,6%</w:t>
            </w:r>
          </w:p>
        </w:tc>
      </w:tr>
      <w:tr w:rsidR="003C547A" w:rsidRPr="000A361E" w14:paraId="58CD291E" w14:textId="77777777" w:rsidTr="008D25E1">
        <w:trPr>
          <w:trHeight w:hRule="exact" w:val="265"/>
        </w:trPr>
        <w:tc>
          <w:tcPr>
            <w:tcW w:w="2834" w:type="dxa"/>
            <w:shd w:val="clear" w:color="auto" w:fill="auto"/>
            <w:noWrap/>
            <w:vAlign w:val="center"/>
            <w:hideMark/>
          </w:tcPr>
          <w:p w14:paraId="225408CF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CE2AD44" w14:textId="30A960C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25.071.837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F1DC8CA" w14:textId="078D777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27.883.057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4ACEB56" w14:textId="2E91DE6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11,2%</w:t>
            </w:r>
          </w:p>
        </w:tc>
      </w:tr>
    </w:tbl>
    <w:p w14:paraId="310822C4" w14:textId="3F5A8004" w:rsidR="00C71F07" w:rsidRP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397AFDC7" w14:textId="05AA5F89" w:rsidR="00C71F07" w:rsidRPr="00552DB7" w:rsidRDefault="00C71F07" w:rsidP="00135C30">
      <w:pPr>
        <w:pStyle w:val="Titolo2"/>
        <w:spacing w:before="180" w:after="60"/>
        <w:rPr>
          <w:rFonts w:asciiTheme="minorHAnsi" w:hAnsiTheme="minorHAnsi" w:cstheme="minorHAnsi"/>
          <w:i/>
          <w:iCs/>
          <w:spacing w:val="-6"/>
          <w:szCs w:val="20"/>
        </w:rPr>
      </w:pPr>
      <w:bookmarkStart w:id="30" w:name="_Toc64210257"/>
      <w:r w:rsidRPr="00700B66">
        <w:rPr>
          <w:rFonts w:asciiTheme="minorHAnsi" w:hAnsiTheme="minorHAnsi" w:cstheme="minorHAnsi"/>
          <w:i/>
          <w:iCs/>
          <w:szCs w:val="20"/>
        </w:rPr>
        <w:t xml:space="preserve">Tabella </w:t>
      </w:r>
      <w:r w:rsidR="00CE0B80">
        <w:rPr>
          <w:rFonts w:asciiTheme="minorHAnsi" w:hAnsiTheme="minorHAnsi" w:cstheme="minorHAnsi"/>
          <w:i/>
          <w:iCs/>
          <w:szCs w:val="20"/>
        </w:rPr>
        <w:t>1</w:t>
      </w:r>
      <w:r w:rsidRPr="00700B66">
        <w:rPr>
          <w:rFonts w:asciiTheme="minorHAnsi" w:hAnsiTheme="minorHAnsi" w:cstheme="minorHAnsi"/>
          <w:i/>
          <w:iCs/>
          <w:szCs w:val="20"/>
        </w:rPr>
        <w:t>2</w:t>
      </w:r>
      <w:r w:rsidRPr="00552DB7">
        <w:rPr>
          <w:rFonts w:asciiTheme="minorHAnsi" w:hAnsiTheme="minorHAnsi" w:cstheme="minorHAnsi"/>
          <w:spacing w:val="-6"/>
          <w:szCs w:val="20"/>
        </w:rPr>
        <w:t xml:space="preserve"> </w:t>
      </w:r>
      <w:r w:rsidR="00552DB7">
        <w:rPr>
          <w:rFonts w:asciiTheme="minorHAnsi" w:hAnsiTheme="minorHAnsi" w:cstheme="minorHAnsi"/>
          <w:spacing w:val="-6"/>
          <w:szCs w:val="20"/>
        </w:rPr>
        <w:t>-</w:t>
      </w:r>
      <w:r w:rsidRPr="00552DB7">
        <w:rPr>
          <w:rFonts w:asciiTheme="minorHAnsi" w:hAnsiTheme="minorHAnsi" w:cstheme="minorHAnsi"/>
          <w:spacing w:val="-6"/>
          <w:szCs w:val="20"/>
        </w:rPr>
        <w:t xml:space="preserve"> </w:t>
      </w:r>
      <w:r w:rsidR="00552DB7" w:rsidRPr="000903A8">
        <w:rPr>
          <w:rFonts w:asciiTheme="minorHAnsi" w:hAnsiTheme="minorHAnsi" w:cstheme="minorHAnsi"/>
          <w:szCs w:val="20"/>
        </w:rPr>
        <w:t>Microimprese</w:t>
      </w:r>
      <w:r w:rsidRPr="000903A8">
        <w:rPr>
          <w:rFonts w:asciiTheme="minorHAnsi" w:hAnsiTheme="minorHAnsi" w:cstheme="minorHAnsi"/>
          <w:szCs w:val="20"/>
        </w:rPr>
        <w:t xml:space="preserve"> (fatturato fino a 350 mila euro)</w:t>
      </w:r>
      <w:bookmarkEnd w:id="30"/>
    </w:p>
    <w:tbl>
      <w:tblPr>
        <w:tblW w:w="6810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25"/>
        <w:gridCol w:w="1325"/>
        <w:gridCol w:w="1325"/>
      </w:tblGrid>
      <w:tr w:rsidR="003C547A" w:rsidRPr="00310E6F" w14:paraId="1F222EE8" w14:textId="77777777" w:rsidTr="008D25E1">
        <w:trPr>
          <w:trHeight w:hRule="exact" w:val="397"/>
        </w:trPr>
        <w:tc>
          <w:tcPr>
            <w:tcW w:w="2835" w:type="dxa"/>
            <w:shd w:val="clear" w:color="auto" w:fill="000099"/>
            <w:vAlign w:val="center"/>
            <w:hideMark/>
          </w:tcPr>
          <w:p w14:paraId="3E669C07" w14:textId="77777777" w:rsidR="003C547A" w:rsidRPr="00310E6F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10E6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5" w:type="dxa"/>
            <w:shd w:val="clear" w:color="auto" w:fill="000099"/>
            <w:vAlign w:val="center"/>
            <w:hideMark/>
          </w:tcPr>
          <w:p w14:paraId="017C7F21" w14:textId="1AE3540D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5" w:type="dxa"/>
            <w:shd w:val="clear" w:color="auto" w:fill="000099"/>
            <w:vAlign w:val="center"/>
            <w:hideMark/>
          </w:tcPr>
          <w:p w14:paraId="2025CC83" w14:textId="3A355092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5" w:type="dxa"/>
            <w:shd w:val="clear" w:color="auto" w:fill="000099"/>
            <w:vAlign w:val="center"/>
            <w:hideMark/>
          </w:tcPr>
          <w:p w14:paraId="652387EB" w14:textId="5C51628F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3C547A" w:rsidRPr="000A361E" w14:paraId="209CC5BB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6E450E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A5C34EF" w14:textId="302BBBB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2.173.148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E675845" w14:textId="13C2999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2.144.164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DB1FF52" w14:textId="36FC3AA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-1,3%</w:t>
            </w:r>
          </w:p>
        </w:tc>
      </w:tr>
      <w:tr w:rsidR="003C547A" w:rsidRPr="000A361E" w14:paraId="2E00F12E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95A61B6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B636798" w14:textId="4F0449D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2.552.855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F8A2251" w14:textId="7492B77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2.490.252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15326B6" w14:textId="40E3A04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-2,5%</w:t>
            </w:r>
          </w:p>
        </w:tc>
      </w:tr>
      <w:tr w:rsidR="003C547A" w:rsidRPr="000A361E" w14:paraId="3DAE49AB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313C1D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CDC0C88" w14:textId="2518651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2.380.984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0D9C21B" w14:textId="3FF0597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2.169.685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CF853A8" w14:textId="366DF90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-8,9%</w:t>
            </w:r>
          </w:p>
        </w:tc>
      </w:tr>
      <w:tr w:rsidR="003C547A" w:rsidRPr="000A361E" w14:paraId="1A1126BF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24D05B4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FE0A966" w14:textId="0E3DD42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804.466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8CF942F" w14:textId="091EB09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917.773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E7498A7" w14:textId="455E072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14,1%</w:t>
            </w:r>
          </w:p>
        </w:tc>
      </w:tr>
      <w:tr w:rsidR="003C547A" w:rsidRPr="000A361E" w14:paraId="7370C5A7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F082C54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7995C2C" w14:textId="2B90C50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320.211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171CCAA" w14:textId="399761E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454.456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5C576F1" w14:textId="6616484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41,9%</w:t>
            </w:r>
          </w:p>
        </w:tc>
      </w:tr>
      <w:tr w:rsidR="003C547A" w:rsidRPr="000A361E" w14:paraId="23A1CFF9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5B8A29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AD00F59" w14:textId="2A70178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171.880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AE9BBFA" w14:textId="4509E06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320.575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3DD1601" w14:textId="31158F5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86,5%</w:t>
            </w:r>
          </w:p>
        </w:tc>
      </w:tr>
      <w:tr w:rsidR="003C547A" w:rsidRPr="000A361E" w14:paraId="4DE339DF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1B4525C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DC8512A" w14:textId="668B5A4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6.309.118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8DE8583" w14:textId="5964A41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6.822.533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BB4B07B" w14:textId="61396B4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8,1%</w:t>
            </w:r>
          </w:p>
        </w:tc>
      </w:tr>
      <w:tr w:rsidR="003C547A" w:rsidRPr="000A361E" w14:paraId="5E7E6573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2FFC07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8E44E1E" w14:textId="2BFCF66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3.354.062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995A9DD" w14:textId="1EE7139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3.041.374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DA282BC" w14:textId="6E04DE6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-9,3%</w:t>
            </w:r>
          </w:p>
        </w:tc>
      </w:tr>
      <w:tr w:rsidR="003C547A" w:rsidRPr="000A361E" w14:paraId="67B0082E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206D00F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A689CC6" w14:textId="251E9FF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2.631.720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A534327" w14:textId="34C667A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3.487.609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5744063C" w14:textId="448522C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32,5%</w:t>
            </w:r>
          </w:p>
        </w:tc>
      </w:tr>
      <w:tr w:rsidR="003C547A" w:rsidRPr="000A361E" w14:paraId="74D3C3B9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736CB7D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C296123" w14:textId="49CF320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942.887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A8056AE" w14:textId="662767F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1.314.877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88A1851" w14:textId="021DFED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39,5%</w:t>
            </w:r>
          </w:p>
        </w:tc>
      </w:tr>
      <w:tr w:rsidR="003C547A" w:rsidRPr="000A361E" w14:paraId="7D5BDFFE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088A69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1B2E83E" w14:textId="21199B9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284.395.700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7843D03" w14:textId="4DF118C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9.393.300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7254F31" w14:textId="5F56632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-96,7%</w:t>
            </w:r>
          </w:p>
        </w:tc>
      </w:tr>
      <w:tr w:rsidR="003C547A" w:rsidRPr="000A361E" w14:paraId="6A0ADCA2" w14:textId="77777777" w:rsidTr="008D25E1">
        <w:trPr>
          <w:trHeight w:hRule="exact" w:val="26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8AD0145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016806B" w14:textId="3BE2C1B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290.954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A49663B" w14:textId="4B0D3FA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546.852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CE3CBB7" w14:textId="418CA85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88,0%</w:t>
            </w:r>
          </w:p>
        </w:tc>
      </w:tr>
    </w:tbl>
    <w:p w14:paraId="676C487D" w14:textId="77777777" w:rsidR="00C71F07" w:rsidRPr="00C71F07" w:rsidRDefault="00C71F07" w:rsidP="008D25E1">
      <w:pPr>
        <w:pStyle w:val="Didascalia"/>
        <w:spacing w:after="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663CA9A0" w14:textId="741FBD1E" w:rsidR="00C71F07" w:rsidRPr="00552DB7" w:rsidRDefault="00C71F07" w:rsidP="00135C30">
      <w:pPr>
        <w:pStyle w:val="Titolo2"/>
        <w:spacing w:before="180" w:after="60"/>
        <w:rPr>
          <w:rFonts w:asciiTheme="minorHAnsi" w:hAnsiTheme="minorHAnsi" w:cstheme="minorHAnsi"/>
          <w:szCs w:val="22"/>
        </w:rPr>
      </w:pPr>
      <w:bookmarkStart w:id="31" w:name="_Toc64210258"/>
      <w:r w:rsidRPr="000903A8">
        <w:rPr>
          <w:rFonts w:asciiTheme="minorHAnsi" w:hAnsiTheme="minorHAnsi" w:cstheme="minorHAnsi"/>
          <w:i/>
          <w:iCs/>
          <w:szCs w:val="22"/>
        </w:rPr>
        <w:t xml:space="preserve">Tabella </w:t>
      </w:r>
      <w:r w:rsidR="00CE0B80">
        <w:rPr>
          <w:rFonts w:asciiTheme="minorHAnsi" w:hAnsiTheme="minorHAnsi" w:cstheme="minorHAnsi"/>
          <w:i/>
          <w:iCs/>
          <w:szCs w:val="22"/>
        </w:rPr>
        <w:t>1</w:t>
      </w:r>
      <w:r w:rsidRPr="000903A8">
        <w:rPr>
          <w:rFonts w:asciiTheme="minorHAnsi" w:hAnsiTheme="minorHAnsi" w:cstheme="minorHAnsi"/>
          <w:i/>
          <w:iCs/>
          <w:szCs w:val="22"/>
        </w:rPr>
        <w:t>3</w:t>
      </w:r>
      <w:r w:rsidRPr="00552DB7">
        <w:rPr>
          <w:rFonts w:asciiTheme="minorHAnsi" w:hAnsiTheme="minorHAnsi" w:cstheme="minorHAnsi"/>
          <w:szCs w:val="22"/>
        </w:rPr>
        <w:t xml:space="preserve"> </w:t>
      </w:r>
      <w:r w:rsidR="00351EE8">
        <w:rPr>
          <w:rFonts w:asciiTheme="minorHAnsi" w:hAnsiTheme="minorHAnsi" w:cstheme="minorHAnsi"/>
          <w:szCs w:val="22"/>
        </w:rPr>
        <w:t>-</w:t>
      </w:r>
      <w:r w:rsidR="00552DB7">
        <w:rPr>
          <w:rFonts w:asciiTheme="minorHAnsi" w:hAnsiTheme="minorHAnsi" w:cstheme="minorHAnsi"/>
          <w:szCs w:val="22"/>
        </w:rPr>
        <w:t xml:space="preserve"> </w:t>
      </w:r>
      <w:r w:rsidR="00552DB7" w:rsidRPr="000903A8">
        <w:rPr>
          <w:rFonts w:asciiTheme="minorHAnsi" w:hAnsiTheme="minorHAnsi" w:cstheme="minorHAnsi"/>
          <w:szCs w:val="22"/>
        </w:rPr>
        <w:t>Piccole imprese</w:t>
      </w:r>
      <w:r w:rsidRPr="000903A8">
        <w:rPr>
          <w:rFonts w:asciiTheme="minorHAnsi" w:hAnsiTheme="minorHAnsi" w:cstheme="minorHAnsi"/>
          <w:szCs w:val="22"/>
        </w:rPr>
        <w:t xml:space="preserve"> (fatturato tra 350 mila e 2 milioni di euro)</w:t>
      </w:r>
      <w:bookmarkEnd w:id="31"/>
    </w:p>
    <w:tbl>
      <w:tblPr>
        <w:tblW w:w="6795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317"/>
        <w:gridCol w:w="1318"/>
        <w:gridCol w:w="1318"/>
      </w:tblGrid>
      <w:tr w:rsidR="003C547A" w:rsidRPr="00310E6F" w14:paraId="083C21E4" w14:textId="77777777" w:rsidTr="008D25E1">
        <w:trPr>
          <w:trHeight w:hRule="exact" w:val="397"/>
        </w:trPr>
        <w:tc>
          <w:tcPr>
            <w:tcW w:w="2842" w:type="dxa"/>
            <w:shd w:val="clear" w:color="auto" w:fill="000099"/>
            <w:vAlign w:val="center"/>
            <w:hideMark/>
          </w:tcPr>
          <w:p w14:paraId="4044481A" w14:textId="77777777" w:rsidR="003C547A" w:rsidRPr="00310E6F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10E6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17" w:type="dxa"/>
            <w:shd w:val="clear" w:color="auto" w:fill="000099"/>
            <w:vAlign w:val="center"/>
            <w:hideMark/>
          </w:tcPr>
          <w:p w14:paraId="168ED348" w14:textId="30093780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18" w:type="dxa"/>
            <w:shd w:val="clear" w:color="auto" w:fill="000099"/>
            <w:vAlign w:val="center"/>
            <w:hideMark/>
          </w:tcPr>
          <w:p w14:paraId="004C2FBA" w14:textId="41DE53A5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18" w:type="dxa"/>
            <w:shd w:val="clear" w:color="auto" w:fill="000099"/>
            <w:vAlign w:val="center"/>
            <w:hideMark/>
          </w:tcPr>
          <w:p w14:paraId="05CF9963" w14:textId="51C46FFC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3C547A" w:rsidRPr="000A361E" w14:paraId="06C00E94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5ECEF26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D9F44C1" w14:textId="0B1DA79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30.849.543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21D8E4C" w14:textId="58905CA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31.022.896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2E8C451" w14:textId="6B440FA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</w:tr>
      <w:tr w:rsidR="003C547A" w:rsidRPr="000A361E" w14:paraId="10BC7F47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0FBEB42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B7CEBE4" w14:textId="20239ED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32.060.786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272440B" w14:textId="34DEBE1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32.238.526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4A95F5F" w14:textId="713D384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0,6%</w:t>
            </w:r>
          </w:p>
        </w:tc>
      </w:tr>
      <w:tr w:rsidR="003C547A" w:rsidRPr="000A361E" w14:paraId="06BD11E3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A6B9060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7B8E7495" w14:textId="2E0C7EF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29.856.294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31B83CC" w14:textId="7450F2F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29.939.184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19BF2C3" w14:textId="6F1EF3E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0,3%</w:t>
            </w:r>
          </w:p>
        </w:tc>
      </w:tr>
      <w:tr w:rsidR="003C547A" w:rsidRPr="000A361E" w14:paraId="66762F38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E63EC70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7A723649" w14:textId="5BD44D4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10.931.451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A99982B" w14:textId="5BC4C36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11.307.726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16F50A9" w14:textId="07CC84A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3,4%</w:t>
            </w:r>
          </w:p>
        </w:tc>
      </w:tr>
      <w:tr w:rsidR="003C547A" w:rsidRPr="000A361E" w14:paraId="05DFD60D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EFE70A7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234936D" w14:textId="382EB48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3.318.551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608B7DC" w14:textId="7261A2E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3.453.317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7821EAE" w14:textId="5A17C4A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</w:tr>
      <w:tr w:rsidR="003C547A" w:rsidRPr="000A361E" w14:paraId="2AA6C231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7236638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41566B6" w14:textId="7A516F0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2.204.505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4120B0A" w14:textId="23D76AF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2.299.365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33E5DF2" w14:textId="25D41CD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4,3%</w:t>
            </w:r>
          </w:p>
        </w:tc>
      </w:tr>
      <w:tr w:rsidR="003C547A" w:rsidRPr="000A361E" w14:paraId="4093C757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A748AE5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44015CC4" w14:textId="43B4EE4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33.637.248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350A26C" w14:textId="5EAA475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34.648.392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773CD32" w14:textId="28F2EB9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</w:tr>
      <w:tr w:rsidR="003C547A" w:rsidRPr="000A361E" w14:paraId="7CE0ED80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0532CBA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11E78010" w14:textId="2E8BC0D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19.119.937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928AAE5" w14:textId="025C210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18.819.413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8310D88" w14:textId="5866FDB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-1,6%</w:t>
            </w:r>
          </w:p>
        </w:tc>
      </w:tr>
      <w:tr w:rsidR="003C547A" w:rsidRPr="000A361E" w14:paraId="3ADAD1C0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C043232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8069B2E" w14:textId="59A4AFF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11.221.116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07C0695" w14:textId="1883F3E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12.361.663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11557EC" w14:textId="7079E6C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10,2%</w:t>
            </w:r>
          </w:p>
        </w:tc>
      </w:tr>
      <w:tr w:rsidR="003C547A" w:rsidRPr="000A361E" w14:paraId="3FA6CEE8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7AD847E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56C0DC7E" w14:textId="210F1FD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7.417.463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FD7BE64" w14:textId="69B086E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8.555.219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2AFDC64" w14:textId="55A6AF7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15,3%</w:t>
            </w:r>
          </w:p>
        </w:tc>
      </w:tr>
      <w:tr w:rsidR="003C547A" w:rsidRPr="000A361E" w14:paraId="27BE22CD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D5C674E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5CF4110C" w14:textId="414465A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1.479.644.400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A3EE0FD" w14:textId="588B200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1.275.656.600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94A0566" w14:textId="3A2B8A1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-13,8%</w:t>
            </w:r>
          </w:p>
        </w:tc>
      </w:tr>
      <w:tr w:rsidR="00C71F07" w:rsidRPr="000A361E" w14:paraId="22A95ED0" w14:textId="77777777" w:rsidTr="008D25E1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449D8FB" w14:textId="77777777" w:rsidR="00C71F07" w:rsidRPr="00BA303A" w:rsidRDefault="00C71F07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015EC19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2.276.277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40F6FE5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2.588.113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F4484DA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13,7%</w:t>
            </w:r>
          </w:p>
        </w:tc>
      </w:tr>
    </w:tbl>
    <w:p w14:paraId="4025D287" w14:textId="77777777" w:rsidR="00C71F07" w:rsidRDefault="00C71F07" w:rsidP="008D25E1">
      <w:pPr>
        <w:pStyle w:val="Didascalia"/>
        <w:spacing w:after="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61B27435" w14:textId="00A72A81" w:rsidR="00C71F07" w:rsidRPr="00552DB7" w:rsidRDefault="00C71F07" w:rsidP="00507B56">
      <w:pPr>
        <w:pStyle w:val="Titolo2"/>
        <w:spacing w:before="360"/>
        <w:rPr>
          <w:rFonts w:asciiTheme="minorHAnsi" w:hAnsiTheme="minorHAnsi" w:cstheme="minorHAnsi"/>
          <w:i/>
          <w:iCs/>
          <w:szCs w:val="22"/>
        </w:rPr>
      </w:pPr>
      <w:bookmarkStart w:id="32" w:name="_Toc64210259"/>
      <w:r w:rsidRPr="000903A8">
        <w:rPr>
          <w:rFonts w:asciiTheme="minorHAnsi" w:hAnsiTheme="minorHAnsi" w:cstheme="minorHAnsi"/>
          <w:i/>
          <w:iCs/>
          <w:szCs w:val="22"/>
        </w:rPr>
        <w:lastRenderedPageBreak/>
        <w:t xml:space="preserve">Tabella </w:t>
      </w:r>
      <w:r w:rsidR="00CE0B80">
        <w:rPr>
          <w:rFonts w:asciiTheme="minorHAnsi" w:hAnsiTheme="minorHAnsi" w:cstheme="minorHAnsi"/>
          <w:i/>
          <w:iCs/>
          <w:szCs w:val="22"/>
        </w:rPr>
        <w:t>1</w:t>
      </w:r>
      <w:r w:rsidRPr="000903A8">
        <w:rPr>
          <w:rFonts w:asciiTheme="minorHAnsi" w:hAnsiTheme="minorHAnsi" w:cstheme="minorHAnsi"/>
          <w:i/>
          <w:iCs/>
          <w:szCs w:val="22"/>
        </w:rPr>
        <w:t>4</w:t>
      </w:r>
      <w:r w:rsidRPr="00552DB7">
        <w:rPr>
          <w:rFonts w:asciiTheme="minorHAnsi" w:hAnsiTheme="minorHAnsi" w:cstheme="minorHAnsi"/>
          <w:szCs w:val="22"/>
        </w:rPr>
        <w:t xml:space="preserve"> </w:t>
      </w:r>
      <w:r w:rsidR="00552DB7">
        <w:rPr>
          <w:rFonts w:asciiTheme="minorHAnsi" w:hAnsiTheme="minorHAnsi" w:cstheme="minorHAnsi"/>
          <w:spacing w:val="-6"/>
          <w:szCs w:val="22"/>
        </w:rPr>
        <w:t>-</w:t>
      </w:r>
      <w:r w:rsidRPr="00552DB7">
        <w:rPr>
          <w:rFonts w:asciiTheme="minorHAnsi" w:hAnsiTheme="minorHAnsi" w:cstheme="minorHAnsi"/>
          <w:szCs w:val="22"/>
        </w:rPr>
        <w:t xml:space="preserve"> </w:t>
      </w:r>
      <w:r w:rsidR="00552DB7" w:rsidRPr="000903A8">
        <w:rPr>
          <w:rFonts w:asciiTheme="minorHAnsi" w:hAnsiTheme="minorHAnsi" w:cstheme="minorHAnsi"/>
          <w:szCs w:val="22"/>
        </w:rPr>
        <w:t>Medie imprese</w:t>
      </w:r>
      <w:r w:rsidRPr="000903A8">
        <w:rPr>
          <w:rFonts w:asciiTheme="minorHAnsi" w:hAnsiTheme="minorHAnsi" w:cstheme="minorHAnsi"/>
          <w:szCs w:val="22"/>
        </w:rPr>
        <w:t xml:space="preserve"> (fatturato tra 2 e 10 milioni di euro)</w:t>
      </w:r>
      <w:bookmarkEnd w:id="32"/>
      <w:r w:rsidRPr="00552DB7">
        <w:rPr>
          <w:rFonts w:asciiTheme="minorHAnsi" w:hAnsiTheme="minorHAnsi" w:cstheme="minorHAnsi"/>
          <w:i/>
          <w:iCs/>
          <w:szCs w:val="22"/>
        </w:rPr>
        <w:t xml:space="preserve"> </w:t>
      </w:r>
    </w:p>
    <w:tbl>
      <w:tblPr>
        <w:tblW w:w="6779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312"/>
        <w:gridCol w:w="1312"/>
        <w:gridCol w:w="1313"/>
      </w:tblGrid>
      <w:tr w:rsidR="003C547A" w:rsidRPr="00310E6F" w14:paraId="54427722" w14:textId="77777777" w:rsidTr="00135C30">
        <w:trPr>
          <w:trHeight w:hRule="exact" w:val="397"/>
        </w:trPr>
        <w:tc>
          <w:tcPr>
            <w:tcW w:w="2842" w:type="dxa"/>
            <w:shd w:val="clear" w:color="auto" w:fill="000099"/>
            <w:vAlign w:val="center"/>
            <w:hideMark/>
          </w:tcPr>
          <w:p w14:paraId="1620F9D0" w14:textId="77777777" w:rsidR="003C547A" w:rsidRPr="00310E6F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10E6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12" w:type="dxa"/>
            <w:shd w:val="clear" w:color="auto" w:fill="000099"/>
            <w:vAlign w:val="center"/>
            <w:hideMark/>
          </w:tcPr>
          <w:p w14:paraId="0A1C4AE7" w14:textId="652B8B80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12" w:type="dxa"/>
            <w:shd w:val="clear" w:color="auto" w:fill="000099"/>
            <w:vAlign w:val="center"/>
            <w:hideMark/>
          </w:tcPr>
          <w:p w14:paraId="7A722514" w14:textId="0145E013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13" w:type="dxa"/>
            <w:shd w:val="clear" w:color="auto" w:fill="000099"/>
            <w:vAlign w:val="center"/>
            <w:hideMark/>
          </w:tcPr>
          <w:p w14:paraId="08057411" w14:textId="73CEE208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3C547A" w:rsidRPr="000A361E" w14:paraId="4A5ECE49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4E12DB8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DA3A192" w14:textId="7A626FB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92.757.643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97A1A95" w14:textId="670424F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93.760.973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C5A96FA" w14:textId="5B426C2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1,1%</w:t>
            </w:r>
          </w:p>
        </w:tc>
      </w:tr>
      <w:tr w:rsidR="003C547A" w:rsidRPr="000A361E" w14:paraId="4CC414EE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21C9BB7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E8E831E" w14:textId="540242B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95.702.512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C48BBE4" w14:textId="743C6CB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96.935.170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D5CD0D3" w14:textId="18EF4E4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</w:tr>
      <w:tr w:rsidR="003C547A" w:rsidRPr="000A361E" w14:paraId="1B07BC20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963C5F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3AEE7A8" w14:textId="5FF8339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88.961.756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7F9D7B9" w14:textId="40DB5E5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90.100.931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6D596D2" w14:textId="474E577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</w:tr>
      <w:tr w:rsidR="003C547A" w:rsidRPr="000A361E" w14:paraId="75361788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2C8D631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DCDE2FA" w14:textId="5974D49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27.691.290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E896E1C" w14:textId="07C10D1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28.825.473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951E11F" w14:textId="29D6337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4,1%</w:t>
            </w:r>
          </w:p>
        </w:tc>
      </w:tr>
      <w:tr w:rsidR="003C547A" w:rsidRPr="000A361E" w14:paraId="2C09C737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731C23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AF514CC" w14:textId="0425486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9.687.246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72B94E5" w14:textId="0347D9C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9.971.798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DFC1DA2" w14:textId="4459C39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3C547A" w:rsidRPr="000A361E" w14:paraId="6F9D0314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E2C4A06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4206EC4" w14:textId="1D49220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6.740.762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B4643F2" w14:textId="058549F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6.834.246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51A98696" w14:textId="6DCB62A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1,4%</w:t>
            </w:r>
          </w:p>
        </w:tc>
      </w:tr>
      <w:tr w:rsidR="003C547A" w:rsidRPr="000A361E" w14:paraId="6C7890A6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58C0741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7FF4586" w14:textId="3B7BB7A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90.690.931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71AD15D" w14:textId="4972160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93.206.864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1ADEB2A8" w14:textId="74EE763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</w:tr>
      <w:tr w:rsidR="003C547A" w:rsidRPr="000A361E" w14:paraId="25C915C3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852244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24731FB" w14:textId="5ABA4E7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50.665.115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05530C3" w14:textId="0FFABB2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49.926.102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F3CAD17" w14:textId="7A769AD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-1,5%</w:t>
            </w:r>
          </w:p>
        </w:tc>
      </w:tr>
      <w:tr w:rsidR="003C547A" w:rsidRPr="000A361E" w14:paraId="479C054F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E549B7A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7EDD75A7" w14:textId="249F830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32.248.011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10F77BCF" w14:textId="1CF96C2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35.275.968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01557CA9" w14:textId="07FBFF6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9,4%</w:t>
            </w:r>
          </w:p>
        </w:tc>
      </w:tr>
      <w:tr w:rsidR="003C547A" w:rsidRPr="000A361E" w14:paraId="0195D26A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7847E18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0E62E38" w14:textId="1163920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21.804.879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5987E977" w14:textId="0E2E39E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24.521.833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4E14733D" w14:textId="4A14097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12,5%</w:t>
            </w:r>
          </w:p>
        </w:tc>
      </w:tr>
      <w:tr w:rsidR="003C547A" w:rsidRPr="000A361E" w14:paraId="2D8BD16C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BB5EB85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3D19444E" w14:textId="3F36086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4.692.000.000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0D5E3470" w14:textId="3F748C8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4.459.717.900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720E66D4" w14:textId="2D88082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-5,0%</w:t>
            </w:r>
          </w:p>
        </w:tc>
      </w:tr>
      <w:tr w:rsidR="003C547A" w:rsidRPr="000A361E" w14:paraId="3C063177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7EDE031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2BBEAE57" w14:textId="31E1C0C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7.345.058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14:paraId="4D3300B8" w14:textId="3D6E636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8.073.908</w:t>
            </w:r>
          </w:p>
        </w:tc>
        <w:tc>
          <w:tcPr>
            <w:tcW w:w="1313" w:type="dxa"/>
            <w:shd w:val="clear" w:color="auto" w:fill="auto"/>
            <w:noWrap/>
            <w:vAlign w:val="center"/>
            <w:hideMark/>
          </w:tcPr>
          <w:p w14:paraId="38AF66C4" w14:textId="5B69EDE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9,9%</w:t>
            </w:r>
          </w:p>
        </w:tc>
      </w:tr>
    </w:tbl>
    <w:p w14:paraId="352DE40B" w14:textId="77777777" w:rsidR="00C71F07" w:rsidRP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42335300" w14:textId="28163B0E" w:rsidR="00C71F07" w:rsidRPr="00552DB7" w:rsidRDefault="00C71F07" w:rsidP="00700B66">
      <w:pPr>
        <w:pStyle w:val="Titolo2"/>
        <w:rPr>
          <w:rFonts w:asciiTheme="minorHAnsi" w:hAnsiTheme="minorHAnsi" w:cstheme="minorHAnsi"/>
          <w:szCs w:val="22"/>
        </w:rPr>
      </w:pPr>
      <w:bookmarkStart w:id="33" w:name="_Toc64210260"/>
      <w:r w:rsidRPr="000903A8">
        <w:rPr>
          <w:rFonts w:asciiTheme="minorHAnsi" w:hAnsiTheme="minorHAnsi" w:cstheme="minorHAnsi"/>
          <w:i/>
          <w:iCs/>
          <w:szCs w:val="22"/>
        </w:rPr>
        <w:t xml:space="preserve">Tabella </w:t>
      </w:r>
      <w:r w:rsidR="00CE0B80">
        <w:rPr>
          <w:rFonts w:asciiTheme="minorHAnsi" w:hAnsiTheme="minorHAnsi" w:cstheme="minorHAnsi"/>
          <w:i/>
          <w:iCs/>
          <w:szCs w:val="22"/>
        </w:rPr>
        <w:t>1</w:t>
      </w:r>
      <w:r w:rsidRPr="000903A8">
        <w:rPr>
          <w:rFonts w:asciiTheme="minorHAnsi" w:hAnsiTheme="minorHAnsi" w:cstheme="minorHAnsi"/>
          <w:i/>
          <w:iCs/>
          <w:szCs w:val="22"/>
        </w:rPr>
        <w:t>5</w:t>
      </w:r>
      <w:r w:rsidRPr="00552DB7">
        <w:rPr>
          <w:rFonts w:asciiTheme="minorHAnsi" w:hAnsiTheme="minorHAnsi" w:cstheme="minorHAnsi"/>
          <w:szCs w:val="22"/>
        </w:rPr>
        <w:t xml:space="preserve"> </w:t>
      </w:r>
      <w:r w:rsidR="00507B56">
        <w:rPr>
          <w:rFonts w:asciiTheme="minorHAnsi" w:hAnsiTheme="minorHAnsi" w:cstheme="minorHAnsi"/>
          <w:spacing w:val="-6"/>
          <w:szCs w:val="22"/>
        </w:rPr>
        <w:t>-</w:t>
      </w:r>
      <w:r w:rsidRPr="00552DB7">
        <w:rPr>
          <w:rFonts w:asciiTheme="minorHAnsi" w:hAnsiTheme="minorHAnsi" w:cstheme="minorHAnsi"/>
          <w:szCs w:val="22"/>
        </w:rPr>
        <w:t xml:space="preserve"> </w:t>
      </w:r>
      <w:r w:rsidR="00552DB7" w:rsidRPr="000903A8">
        <w:rPr>
          <w:rFonts w:asciiTheme="minorHAnsi" w:hAnsiTheme="minorHAnsi" w:cstheme="minorHAnsi"/>
          <w:szCs w:val="22"/>
        </w:rPr>
        <w:t>Grandi imprese</w:t>
      </w:r>
      <w:r w:rsidRPr="000903A8">
        <w:rPr>
          <w:rFonts w:asciiTheme="minorHAnsi" w:hAnsiTheme="minorHAnsi" w:cstheme="minorHAnsi"/>
          <w:szCs w:val="22"/>
        </w:rPr>
        <w:t xml:space="preserve"> (fatturato oltre 10 milioni di euro)</w:t>
      </w:r>
      <w:bookmarkEnd w:id="33"/>
    </w:p>
    <w:tbl>
      <w:tblPr>
        <w:tblW w:w="6815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324"/>
        <w:gridCol w:w="1324"/>
        <w:gridCol w:w="1325"/>
      </w:tblGrid>
      <w:tr w:rsidR="003C547A" w:rsidRPr="00310E6F" w14:paraId="0D3DDC75" w14:textId="77777777" w:rsidTr="00135C30">
        <w:trPr>
          <w:trHeight w:hRule="exact" w:val="397"/>
        </w:trPr>
        <w:tc>
          <w:tcPr>
            <w:tcW w:w="2842" w:type="dxa"/>
            <w:shd w:val="clear" w:color="auto" w:fill="000099"/>
            <w:vAlign w:val="center"/>
            <w:hideMark/>
          </w:tcPr>
          <w:p w14:paraId="4603FC6B" w14:textId="77777777" w:rsidR="003C547A" w:rsidRPr="00310E6F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310E6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4" w:type="dxa"/>
            <w:shd w:val="clear" w:color="auto" w:fill="000099"/>
            <w:vAlign w:val="center"/>
            <w:hideMark/>
          </w:tcPr>
          <w:p w14:paraId="21F77169" w14:textId="16DB7FF1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4" w:type="dxa"/>
            <w:shd w:val="clear" w:color="auto" w:fill="000099"/>
            <w:vAlign w:val="center"/>
            <w:hideMark/>
          </w:tcPr>
          <w:p w14:paraId="2CC68923" w14:textId="79F24D55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5" w:type="dxa"/>
            <w:shd w:val="clear" w:color="auto" w:fill="000099"/>
            <w:vAlign w:val="center"/>
            <w:hideMark/>
          </w:tcPr>
          <w:p w14:paraId="5787BBD6" w14:textId="5BDC865F" w:rsidR="003C547A" w:rsidRPr="00310E6F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3C547A" w:rsidRPr="000A361E" w14:paraId="0467459C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93F3492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8D08421" w14:textId="437E9F1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169.148.972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269BD94" w14:textId="69B8F13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175.854.824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0D9ABD92" w14:textId="7B62883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4,0%</w:t>
            </w:r>
          </w:p>
        </w:tc>
      </w:tr>
      <w:tr w:rsidR="003C547A" w:rsidRPr="000A361E" w14:paraId="20F9291C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8E634A9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27EF9B6" w14:textId="166F4E9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175.552.652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C3E6513" w14:textId="28D5D2F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180.669.473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0B87F51" w14:textId="01358CF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3C547A" w:rsidRPr="000A361E" w14:paraId="690B9AEA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1AAD31E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171E55C" w14:textId="44072DE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162.803.561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978F4DA" w14:textId="464B231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167.418.720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605647C1" w14:textId="3FC2116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</w:tr>
      <w:tr w:rsidR="003C547A" w:rsidRPr="000A361E" w14:paraId="0F09ED3D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D43011C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E8E83EA" w14:textId="3FA372E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41.392.156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C675B7D" w14:textId="16BB9B4D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43.607.690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42D75B7" w14:textId="0C3A238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5,4%</w:t>
            </w:r>
          </w:p>
        </w:tc>
      </w:tr>
      <w:tr w:rsidR="003C547A" w:rsidRPr="000A361E" w14:paraId="6446C9F2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ADEE51A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407C2CE" w14:textId="59AE3B2C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17.955.902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58C920B1" w14:textId="66B9752A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18.913.673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36F8078F" w14:textId="28F9424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5,3%</w:t>
            </w:r>
          </w:p>
        </w:tc>
      </w:tr>
      <w:tr w:rsidR="003C547A" w:rsidRPr="000A361E" w14:paraId="65E29B0D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ABE3052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D506061" w14:textId="0333EEB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12.749.095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F8E319E" w14:textId="455F9592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13.250.754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1D126613" w14:textId="4FB7B7F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</w:tr>
      <w:tr w:rsidR="003C547A" w:rsidRPr="000A361E" w14:paraId="340A76F7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1632BBF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492190E" w14:textId="268CDD86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161.505.763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43D7D952" w14:textId="7A9BFB2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169.944.115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AB8F136" w14:textId="4DD8D4B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</w:tr>
      <w:tr w:rsidR="003C547A" w:rsidRPr="000A361E" w14:paraId="2084DF24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082AD1D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0037DAAD" w14:textId="3DDECF6E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78.106.500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79CCC79B" w14:textId="530F93D3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81.109.975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40127E52" w14:textId="7A0EFCF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3,8%</w:t>
            </w:r>
          </w:p>
        </w:tc>
      </w:tr>
      <w:tr w:rsidR="003C547A" w:rsidRPr="000A361E" w14:paraId="287BE428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4712945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2448F098" w14:textId="519DC101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75.234.502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D42B75C" w14:textId="6B4EE138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80.262.435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3810A7B" w14:textId="79A8769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6,7%</w:t>
            </w:r>
          </w:p>
        </w:tc>
      </w:tr>
      <w:tr w:rsidR="003C547A" w:rsidRPr="000A361E" w14:paraId="3B6E442A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3EC9358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5DD7562" w14:textId="2E5A9EDB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37.170.749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BECDEFB" w14:textId="6F546E10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41.282.429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9332DBA" w14:textId="04FCE8A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11,1%</w:t>
            </w:r>
          </w:p>
        </w:tc>
      </w:tr>
      <w:tr w:rsidR="003C547A" w:rsidRPr="000A361E" w14:paraId="34047D75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039C206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2D50D97" w14:textId="577D2A0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7.034.583.400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1277102E" w14:textId="61E3DB69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6.445.110.300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7CB482A2" w14:textId="2E709064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-8,4%</w:t>
            </w:r>
          </w:p>
        </w:tc>
      </w:tr>
      <w:tr w:rsidR="003C547A" w:rsidRPr="000A361E" w14:paraId="0D4602D4" w14:textId="77777777" w:rsidTr="00135C30">
        <w:trPr>
          <w:trHeight w:val="248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B4DCE0B" w14:textId="77777777" w:rsidR="003C547A" w:rsidRPr="00BA303A" w:rsidRDefault="003C547A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62E63BFC" w14:textId="12FBFB75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14.948.836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14:paraId="35981108" w14:textId="27227057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16.484.760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14:paraId="25D23B9F" w14:textId="7F67AB4F" w:rsidR="003C547A" w:rsidRPr="00BA303A" w:rsidRDefault="003C547A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10,3%</w:t>
            </w:r>
          </w:p>
        </w:tc>
      </w:tr>
    </w:tbl>
    <w:p w14:paraId="2F020B43" w14:textId="77777777" w:rsidR="00C71F07" w:rsidRP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6C08BF3F" w14:textId="77777777" w:rsidR="00862F74" w:rsidRDefault="00862F74" w:rsidP="00C939FF">
      <w:pPr>
        <w:pStyle w:val="Titolo1"/>
        <w:spacing w:before="320"/>
        <w:jc w:val="both"/>
      </w:pPr>
      <w:bookmarkStart w:id="34" w:name="_Toc25058704"/>
      <w:r>
        <w:br w:type="page"/>
      </w:r>
    </w:p>
    <w:p w14:paraId="79387219" w14:textId="595D5167" w:rsidR="00C71F07" w:rsidRDefault="00C71F07" w:rsidP="00862F74">
      <w:pPr>
        <w:pStyle w:val="Titolo1"/>
        <w:spacing w:before="320" w:line="260" w:lineRule="exact"/>
        <w:jc w:val="both"/>
      </w:pPr>
      <w:bookmarkStart w:id="35" w:name="_Toc64210261"/>
      <w:r w:rsidRPr="00C71F07">
        <w:lastRenderedPageBreak/>
        <w:t>Principali Indicatori economici e finanziari</w:t>
      </w:r>
      <w:r>
        <w:t xml:space="preserve"> per macroarea territoriale</w:t>
      </w:r>
      <w:r w:rsidRPr="00C71F07">
        <w:t>:</w:t>
      </w:r>
      <w:bookmarkEnd w:id="34"/>
      <w:r w:rsidRPr="00C71F07">
        <w:t xml:space="preserve"> </w:t>
      </w:r>
      <w:bookmarkStart w:id="36" w:name="_Toc25058705"/>
      <w:r w:rsidRPr="00C71F07">
        <w:t>valori aggregati e variazioni percentuali</w:t>
      </w:r>
      <w:bookmarkEnd w:id="35"/>
      <w:bookmarkEnd w:id="36"/>
    </w:p>
    <w:p w14:paraId="2E301E15" w14:textId="0477BBAA" w:rsidR="00211846" w:rsidRDefault="00E85205" w:rsidP="00862F74">
      <w:pPr>
        <w:spacing w:after="120"/>
        <w:jc w:val="both"/>
      </w:pPr>
      <w:r w:rsidRPr="00862F74">
        <w:rPr>
          <w:spacing w:val="-4"/>
        </w:rPr>
        <w:t>I dati riportati nelle tabelle seguenti sono riferiti alle Srl con patrimonio netto e risultato d’esercizio positivi</w:t>
      </w:r>
      <w:r w:rsidR="00862F74">
        <w:t>.</w:t>
      </w:r>
    </w:p>
    <w:p w14:paraId="6816CDB7" w14:textId="24E71099" w:rsidR="00C71F07" w:rsidRPr="00552DB7" w:rsidRDefault="00552DB7" w:rsidP="00135C30">
      <w:pPr>
        <w:pStyle w:val="Titolo2"/>
        <w:spacing w:before="180" w:after="60"/>
        <w:rPr>
          <w:i/>
          <w:iCs/>
          <w:sz w:val="24"/>
          <w:szCs w:val="22"/>
        </w:rPr>
      </w:pPr>
      <w:bookmarkStart w:id="37" w:name="_Toc64210262"/>
      <w:r w:rsidRPr="00C939FF">
        <w:rPr>
          <w:i/>
          <w:iCs/>
        </w:rPr>
        <w:t>Tabella 1</w:t>
      </w:r>
      <w:r w:rsidR="00CE0B80" w:rsidRPr="00C939FF">
        <w:rPr>
          <w:i/>
          <w:iCs/>
        </w:rPr>
        <w:t>6</w:t>
      </w:r>
      <w:r w:rsidR="00CE0B80">
        <w:t xml:space="preserve"> </w:t>
      </w:r>
      <w:r>
        <w:rPr>
          <w:spacing w:val="-6"/>
        </w:rPr>
        <w:t>-</w:t>
      </w:r>
      <w:r w:rsidRPr="00552DB7">
        <w:t xml:space="preserve"> Nord-Ovest</w:t>
      </w:r>
      <w:bookmarkEnd w:id="37"/>
    </w:p>
    <w:tbl>
      <w:tblPr>
        <w:tblW w:w="6795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317"/>
        <w:gridCol w:w="1318"/>
        <w:gridCol w:w="1318"/>
      </w:tblGrid>
      <w:tr w:rsidR="004E0FFB" w:rsidRPr="004E0FFB" w14:paraId="1C29B871" w14:textId="77777777" w:rsidTr="00135C30">
        <w:trPr>
          <w:trHeight w:hRule="exact" w:val="397"/>
        </w:trPr>
        <w:tc>
          <w:tcPr>
            <w:tcW w:w="2842" w:type="dxa"/>
            <w:shd w:val="clear" w:color="auto" w:fill="000099"/>
            <w:vAlign w:val="center"/>
            <w:hideMark/>
          </w:tcPr>
          <w:p w14:paraId="3C25BD03" w14:textId="560AF52F" w:rsidR="00C71F07" w:rsidRPr="004E0FFB" w:rsidRDefault="00C71F07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E0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17" w:type="dxa"/>
            <w:shd w:val="clear" w:color="auto" w:fill="000099"/>
            <w:vAlign w:val="center"/>
            <w:hideMark/>
          </w:tcPr>
          <w:p w14:paraId="0ED0DDF5" w14:textId="4A7628DF" w:rsidR="00C71F07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18" w:type="dxa"/>
            <w:shd w:val="clear" w:color="auto" w:fill="000099"/>
            <w:vAlign w:val="center"/>
            <w:hideMark/>
          </w:tcPr>
          <w:p w14:paraId="7DDFA683" w14:textId="69A353C0" w:rsidR="00C71F07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18" w:type="dxa"/>
            <w:shd w:val="clear" w:color="auto" w:fill="000099"/>
            <w:vAlign w:val="center"/>
            <w:hideMark/>
          </w:tcPr>
          <w:p w14:paraId="0803FDBC" w14:textId="36AE1E47" w:rsidR="00C71F07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F5490B" w:rsidRPr="000A361E" w14:paraId="34FB42C8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79581CC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0DA1322C" w14:textId="5792227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120.313.470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C0E8B43" w14:textId="0F68DD1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121.841.193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5017BE7" w14:textId="49946277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1,3%</w:t>
            </w:r>
          </w:p>
        </w:tc>
      </w:tr>
      <w:tr w:rsidR="00F5490B" w:rsidRPr="000A361E" w14:paraId="39970DB1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63DC1C8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A3FE84E" w14:textId="7269107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124.732.696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0BFB939" w14:textId="47432DA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125.905.620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631A517" w14:textId="529699C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</w:tr>
      <w:tr w:rsidR="00F5490B" w:rsidRPr="000A361E" w14:paraId="2A510B81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2F50AD3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3DAD4474" w14:textId="1CB29D6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115.485.374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B27DD19" w14:textId="5681083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116.486.151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359E273" w14:textId="2249F7E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0,9%</w:t>
            </w:r>
          </w:p>
        </w:tc>
      </w:tr>
      <w:tr w:rsidR="00F5490B" w:rsidRPr="000A361E" w14:paraId="57CC718A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233106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7C0936A0" w14:textId="4491A83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33.724.507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88197F5" w14:textId="28BB9387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34.895.072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EAF57E9" w14:textId="7F88C65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</w:tr>
      <w:tr w:rsidR="00F5490B" w:rsidRPr="000A361E" w14:paraId="463C6741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92CAA8D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197C0E3" w14:textId="2C79590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13.374.372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5CF79E3" w14:textId="7EBA0DB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13.842.160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383E6DD" w14:textId="36FC39D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3,5%</w:t>
            </w:r>
          </w:p>
        </w:tc>
      </w:tr>
      <w:tr w:rsidR="00F5490B" w:rsidRPr="000A361E" w14:paraId="1B0FF32E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6520095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2ED110B" w14:textId="1AB458B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9.247.333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BB3C6B0" w14:textId="2AFC93B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9.419.481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ADA12CB" w14:textId="6CFA2DD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</w:tr>
      <w:tr w:rsidR="00F5490B" w:rsidRPr="000A361E" w14:paraId="18651E2C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DF0E1E2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D168175" w14:textId="325847B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119.725.241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3711DA0" w14:textId="3C5BA01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124.335.941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58A5ED7" w14:textId="5701F4E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3,9%</w:t>
            </w:r>
          </w:p>
        </w:tc>
      </w:tr>
      <w:tr w:rsidR="00F5490B" w:rsidRPr="000A361E" w14:paraId="657F0595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7A433D12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008AD97F" w14:textId="4BDA199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58.352.685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9C69DA6" w14:textId="5E3C414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58.613.958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39AD236" w14:textId="51436AF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</w:tr>
      <w:tr w:rsidR="00F5490B" w:rsidRPr="000A361E" w14:paraId="0B200298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506062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3273559" w14:textId="1D860EA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53.245.208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2368B18" w14:textId="560C518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57.409.152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18309E9" w14:textId="5AF2E02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7,8%</w:t>
            </w:r>
          </w:p>
        </w:tc>
      </w:tr>
      <w:tr w:rsidR="00F5490B" w:rsidRPr="000A361E" w14:paraId="1A83C169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610379D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17327D4C" w14:textId="3979A30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8.017.725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6FD785F" w14:textId="1A6EEEA0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34.608.251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4FF8AFC" w14:textId="22A2F4B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331,6%</w:t>
            </w:r>
          </w:p>
        </w:tc>
      </w:tr>
      <w:tr w:rsidR="00F5490B" w:rsidRPr="000A361E" w14:paraId="04F3E623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B9FA725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46DC13A7" w14:textId="12F459F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4.084.172.500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3EAC603" w14:textId="230CF3D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3.661.969.600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0BB1A7C" w14:textId="35D4D35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-10,3%</w:t>
            </w:r>
          </w:p>
        </w:tc>
      </w:tr>
      <w:tr w:rsidR="00F5490B" w:rsidRPr="000A361E" w14:paraId="558A269B" w14:textId="77777777" w:rsidTr="00135C30">
        <w:trPr>
          <w:trHeight w:val="249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BD06D16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25F5AA74" w14:textId="2801DFD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10.728.468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C98E63A" w14:textId="054366F7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11.916.400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70C520D9" w14:textId="5CE6042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11,1%</w:t>
            </w:r>
          </w:p>
        </w:tc>
      </w:tr>
    </w:tbl>
    <w:p w14:paraId="7FB7B1F1" w14:textId="7A2810C8" w:rsid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2FF7F93A" w14:textId="238B6A74" w:rsidR="00C71F07" w:rsidRPr="00552DB7" w:rsidRDefault="00552DB7" w:rsidP="00135C30">
      <w:pPr>
        <w:pStyle w:val="Titolo2"/>
        <w:spacing w:before="180" w:after="60"/>
        <w:rPr>
          <w:rFonts w:eastAsia="Times New Roman" w:cs="Times New Roman"/>
          <w:bCs/>
          <w:color w:val="000000"/>
          <w:lang w:eastAsia="it-IT"/>
        </w:rPr>
      </w:pPr>
      <w:bookmarkStart w:id="38" w:name="_Toc64210263"/>
      <w:r w:rsidRPr="00552DB7">
        <w:rPr>
          <w:i/>
          <w:iCs/>
        </w:rPr>
        <w:t xml:space="preserve">Tabella </w:t>
      </w:r>
      <w:r w:rsidR="00CE0B80">
        <w:rPr>
          <w:i/>
          <w:iCs/>
        </w:rPr>
        <w:t>17</w:t>
      </w:r>
      <w:r w:rsidRPr="00552DB7">
        <w:t xml:space="preserve"> </w:t>
      </w:r>
      <w:r>
        <w:rPr>
          <w:spacing w:val="-6"/>
        </w:rPr>
        <w:t xml:space="preserve">- </w:t>
      </w:r>
      <w:r w:rsidRPr="00552DB7">
        <w:t>Nord-Est</w:t>
      </w:r>
      <w:bookmarkEnd w:id="38"/>
    </w:p>
    <w:tbl>
      <w:tblPr>
        <w:tblW w:w="6804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1320"/>
        <w:gridCol w:w="1321"/>
        <w:gridCol w:w="1321"/>
      </w:tblGrid>
      <w:tr w:rsidR="00F5490B" w:rsidRPr="004E0FFB" w14:paraId="3FEB80D7" w14:textId="77777777" w:rsidTr="00135C30">
        <w:trPr>
          <w:trHeight w:hRule="exact" w:val="397"/>
        </w:trPr>
        <w:tc>
          <w:tcPr>
            <w:tcW w:w="2842" w:type="dxa"/>
            <w:shd w:val="clear" w:color="auto" w:fill="000099"/>
            <w:vAlign w:val="center"/>
            <w:hideMark/>
          </w:tcPr>
          <w:p w14:paraId="13D4D4CC" w14:textId="22346638" w:rsidR="00F5490B" w:rsidRPr="004E0FFB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E0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0" w:type="dxa"/>
            <w:shd w:val="clear" w:color="auto" w:fill="000099"/>
            <w:vAlign w:val="center"/>
            <w:hideMark/>
          </w:tcPr>
          <w:p w14:paraId="66F4575F" w14:textId="01D954E9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1" w:type="dxa"/>
            <w:shd w:val="clear" w:color="auto" w:fill="000099"/>
            <w:vAlign w:val="center"/>
            <w:hideMark/>
          </w:tcPr>
          <w:p w14:paraId="46C8B95E" w14:textId="1F986F84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1" w:type="dxa"/>
            <w:shd w:val="clear" w:color="auto" w:fill="000099"/>
            <w:vAlign w:val="center"/>
            <w:hideMark/>
          </w:tcPr>
          <w:p w14:paraId="1D7C2D88" w14:textId="7423ACC1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F5490B" w:rsidRPr="000A361E" w14:paraId="0DAEC690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48BA880E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70253A8" w14:textId="416A552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94.895.921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F503450" w14:textId="0E2B9C8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97.343.968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72F3CA8F" w14:textId="6B95D37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2,6%</w:t>
            </w:r>
          </w:p>
        </w:tc>
      </w:tr>
      <w:tr w:rsidR="00F5490B" w:rsidRPr="000A361E" w14:paraId="1E10B075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5044A7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A9B45D" w14:textId="72E3D9BD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97.962.600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5979144C" w14:textId="6F4051F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99.954.176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50C9083" w14:textId="3C570300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</w:tr>
      <w:tr w:rsidR="00F5490B" w:rsidRPr="000A361E" w14:paraId="6CFC37B5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014E3B32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41939A" w14:textId="32D54B6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90.617.614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3BC85BC1" w14:textId="1B2A8E2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92.390.504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074D42B" w14:textId="0CF022D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2,0%</w:t>
            </w:r>
          </w:p>
        </w:tc>
      </w:tr>
      <w:tr w:rsidR="00F5490B" w:rsidRPr="000A361E" w14:paraId="622BA41B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2F1FC8A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71EF42" w14:textId="202A856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26.194.298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05F48881" w14:textId="181FEB5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27.393.194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12561F5" w14:textId="309DF61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4,6%</w:t>
            </w:r>
          </w:p>
        </w:tc>
      </w:tr>
      <w:tr w:rsidR="00F5490B" w:rsidRPr="000A361E" w14:paraId="25649316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F43912D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253E5F" w14:textId="5807C3E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10.135.716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15D67FE2" w14:textId="41FAB2D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10.577.422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0F4AB82" w14:textId="778DCB1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4,4%</w:t>
            </w:r>
          </w:p>
        </w:tc>
      </w:tr>
      <w:tr w:rsidR="00F5490B" w:rsidRPr="000A361E" w14:paraId="0A861803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1E6B8C4F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EF279F5" w14:textId="6C6A62E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7.344.995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573D7BE0" w14:textId="566A9B2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7.563.685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CC63257" w14:textId="62147B3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3,0%</w:t>
            </w:r>
          </w:p>
        </w:tc>
      </w:tr>
      <w:tr w:rsidR="00F5490B" w:rsidRPr="000A361E" w14:paraId="0324F95C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553EDDA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D897F8" w14:textId="0DC3AA6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87.031.638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034ABB6C" w14:textId="2D19B22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90.994.760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504C5CB" w14:textId="14DB588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4,6%</w:t>
            </w:r>
          </w:p>
        </w:tc>
      </w:tr>
      <w:tr w:rsidR="00F5490B" w:rsidRPr="000A361E" w14:paraId="2EB30CEB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C7EE52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B2A2C36" w14:textId="792A265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45.675.793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4BEF0E0D" w14:textId="16775E8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45.992.337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2CFADB12" w14:textId="5D9EC98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0,7%</w:t>
            </w:r>
          </w:p>
        </w:tc>
      </w:tr>
      <w:tr w:rsidR="00F5490B" w:rsidRPr="000A361E" w14:paraId="491FF8BC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260362DF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F4D422" w14:textId="0DACB94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35.521.770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4D7B155C" w14:textId="3AE31AB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38.995.692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05EF51C0" w14:textId="1C91C73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9,8%</w:t>
            </w:r>
          </w:p>
        </w:tc>
      </w:tr>
      <w:tr w:rsidR="00F5490B" w:rsidRPr="000A361E" w14:paraId="0D0D3E98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6A9610CC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A0F4D69" w14:textId="1CB0CC2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35.836.788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58196CD1" w14:textId="0B36DF0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24.095.395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2706631" w14:textId="1889C03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-32,8%</w:t>
            </w:r>
          </w:p>
        </w:tc>
      </w:tr>
      <w:tr w:rsidR="00F5490B" w:rsidRPr="000A361E" w14:paraId="1D3CA725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50270A0F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B9CE2D" w14:textId="39DF607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3.631.307.600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72736F6" w14:textId="18C03CB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3.169.163.900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6674786C" w14:textId="6E5A041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-12,7%</w:t>
            </w:r>
          </w:p>
        </w:tc>
      </w:tr>
      <w:tr w:rsidR="00F5490B" w:rsidRPr="000A361E" w14:paraId="2B0F12F7" w14:textId="77777777" w:rsidTr="00135C30">
        <w:trPr>
          <w:trHeight w:hRule="exact" w:val="265"/>
        </w:trPr>
        <w:tc>
          <w:tcPr>
            <w:tcW w:w="2842" w:type="dxa"/>
            <w:shd w:val="clear" w:color="auto" w:fill="auto"/>
            <w:noWrap/>
            <w:vAlign w:val="center"/>
            <w:hideMark/>
          </w:tcPr>
          <w:p w14:paraId="3AE4FD1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CE8CEF" w14:textId="61DD3D3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8.058.946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78019964" w14:textId="3827A6C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8.511.578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14:paraId="7066992C" w14:textId="6CCB1BE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5,6%</w:t>
            </w:r>
          </w:p>
        </w:tc>
      </w:tr>
    </w:tbl>
    <w:p w14:paraId="45326702" w14:textId="29BD48D7" w:rsid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7C574972" w14:textId="4C573DE0" w:rsidR="00C71F07" w:rsidRPr="004E0FFB" w:rsidRDefault="004E0FFB" w:rsidP="00135C30">
      <w:pPr>
        <w:pStyle w:val="Titolo2"/>
        <w:spacing w:before="180" w:after="60"/>
        <w:rPr>
          <w:rFonts w:eastAsia="Times New Roman" w:cs="Times New Roman"/>
          <w:bCs/>
          <w:color w:val="000000"/>
          <w:lang w:eastAsia="it-IT"/>
        </w:rPr>
      </w:pPr>
      <w:bookmarkStart w:id="39" w:name="_Toc64210264"/>
      <w:r w:rsidRPr="00C939FF">
        <w:rPr>
          <w:i/>
          <w:iCs/>
        </w:rPr>
        <w:t xml:space="preserve">Tabella </w:t>
      </w:r>
      <w:r w:rsidR="00CE0B80" w:rsidRPr="00C939FF">
        <w:rPr>
          <w:i/>
          <w:iCs/>
        </w:rPr>
        <w:t>18</w:t>
      </w:r>
      <w:r w:rsidRPr="004E0FFB">
        <w:t xml:space="preserve"> </w:t>
      </w:r>
      <w:r w:rsidRPr="004E0FFB">
        <w:rPr>
          <w:spacing w:val="-6"/>
        </w:rPr>
        <w:t>-</w:t>
      </w:r>
      <w:r w:rsidRPr="004E0FFB">
        <w:t xml:space="preserve"> Centro</w:t>
      </w:r>
      <w:bookmarkEnd w:id="39"/>
    </w:p>
    <w:tbl>
      <w:tblPr>
        <w:tblW w:w="6825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323"/>
        <w:gridCol w:w="1323"/>
        <w:gridCol w:w="1323"/>
      </w:tblGrid>
      <w:tr w:rsidR="00F5490B" w:rsidRPr="004E0FFB" w14:paraId="590CCFC6" w14:textId="77777777" w:rsidTr="00135C30">
        <w:trPr>
          <w:trHeight w:hRule="exact" w:val="397"/>
        </w:trPr>
        <w:tc>
          <w:tcPr>
            <w:tcW w:w="2856" w:type="dxa"/>
            <w:shd w:val="clear" w:color="auto" w:fill="000099"/>
            <w:vAlign w:val="center"/>
            <w:hideMark/>
          </w:tcPr>
          <w:p w14:paraId="144C5FF1" w14:textId="3FE5AC61" w:rsidR="00F5490B" w:rsidRPr="004E0FFB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E0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510968B5" w14:textId="792A3229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7102BE85" w14:textId="5D5ADD2D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1153DB32" w14:textId="1F8D513D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F5490B" w:rsidRPr="000A361E" w14:paraId="5FCB87EF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B8BCB20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CFC6F8E" w14:textId="0DAAC5E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50.088.390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B5067C4" w14:textId="77B9697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52.193.684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6A9811F" w14:textId="2420A9F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4,2%</w:t>
            </w:r>
          </w:p>
        </w:tc>
      </w:tr>
      <w:tr w:rsidR="00F5490B" w:rsidRPr="000A361E" w14:paraId="099E3559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E2AB777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7CD0953" w14:textId="048913A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52.343.481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FEB9EBA" w14:textId="7CD3EA9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53.795.048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D351CC9" w14:textId="6599CD4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2,8%</w:t>
            </w:r>
          </w:p>
        </w:tc>
      </w:tr>
      <w:tr w:rsidR="00F5490B" w:rsidRPr="000A361E" w14:paraId="093F2419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5714125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4DCE98E" w14:textId="40294E5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48.990.421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9F8C082" w14:textId="61408247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50.267.275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6FDFF7C" w14:textId="68B0757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2,6%</w:t>
            </w:r>
          </w:p>
        </w:tc>
      </w:tr>
      <w:tr w:rsidR="00F5490B" w:rsidRPr="000A361E" w14:paraId="4F7F6929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65883DC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CC77247" w14:textId="44CEC5B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13.183.828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A77E217" w14:textId="2BD9FED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13.855.863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4294D18" w14:textId="6BDB602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</w:tr>
      <w:tr w:rsidR="00F5490B" w:rsidRPr="000A361E" w14:paraId="66B92F62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5F222C2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52C56A7" w14:textId="5B81A32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4.834.029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10506E7" w14:textId="4F6CBDD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5.092.335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8E6BBA4" w14:textId="4330322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5,3%</w:t>
            </w:r>
          </w:p>
        </w:tc>
      </w:tr>
      <w:tr w:rsidR="00F5490B" w:rsidRPr="000A361E" w14:paraId="1A7EE52A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95BB444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E1F8398" w14:textId="7029B6E0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3.353.060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A0857D4" w14:textId="090B057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3.527.776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D1E325D" w14:textId="62433BA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5,2%</w:t>
            </w:r>
          </w:p>
        </w:tc>
      </w:tr>
      <w:tr w:rsidR="00F5490B" w:rsidRPr="000A361E" w14:paraId="41748F30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12A4BC3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EA9209A" w14:textId="1433C5C7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52.381.783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9548697" w14:textId="5979F4D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53.890.758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ABC361C" w14:textId="104E860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2,9%</w:t>
            </w:r>
          </w:p>
        </w:tc>
      </w:tr>
      <w:tr w:rsidR="00F5490B" w:rsidRPr="000A361E" w14:paraId="353FFD47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FA5F510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CB72B60" w14:textId="6A2D7E1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28.576.351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A07BD11" w14:textId="642ADD5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28.698.880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5ED220C" w14:textId="7256B02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0,4%</w:t>
            </w:r>
          </w:p>
        </w:tc>
      </w:tr>
      <w:tr w:rsidR="00F5490B" w:rsidRPr="000A361E" w14:paraId="14643ACD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2E45B3D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D8D3A2E" w14:textId="5E94710D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20.411.748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DFDDCD6" w14:textId="4DC98F3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21.664.534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F0DEDAF" w14:textId="0E403E6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6,1%</w:t>
            </w:r>
          </w:p>
        </w:tc>
      </w:tr>
      <w:tr w:rsidR="00F5490B" w:rsidRPr="000A361E" w14:paraId="3575192D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4309759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72B191C" w14:textId="75CEB36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14.457.965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B6F109B" w14:textId="78559A0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9.765.932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EDCBE16" w14:textId="11C6E9B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-32,5%</w:t>
            </w:r>
          </w:p>
        </w:tc>
      </w:tr>
      <w:tr w:rsidR="00F5490B" w:rsidRPr="000A361E" w14:paraId="5B54E17E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8539C40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A9E3956" w14:textId="00323BC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2.544.572.800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30A7C45" w14:textId="7BC70E9D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2.258.174.100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44E4FB6" w14:textId="7653496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-11,3%</w:t>
            </w:r>
          </w:p>
        </w:tc>
      </w:tr>
      <w:tr w:rsidR="00C71F07" w:rsidRPr="000A361E" w14:paraId="2AD3E1AC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625B7996" w14:textId="77777777" w:rsidR="00C71F07" w:rsidRPr="00BA303A" w:rsidRDefault="00C71F07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A544F06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3.611.062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F6889B9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4.185.204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878514E" w14:textId="77777777" w:rsidR="00C71F07" w:rsidRPr="00BA303A" w:rsidRDefault="00C71F07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15,9%</w:t>
            </w:r>
          </w:p>
        </w:tc>
      </w:tr>
    </w:tbl>
    <w:p w14:paraId="39A68654" w14:textId="7B03CF3E" w:rsid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1E602197" w14:textId="6818D9B1" w:rsidR="00C71F07" w:rsidRPr="004E0FFB" w:rsidRDefault="004E0FFB" w:rsidP="00C939FF">
      <w:pPr>
        <w:pStyle w:val="Titolo2"/>
        <w:rPr>
          <w:rFonts w:eastAsia="Times New Roman" w:cs="Times New Roman"/>
          <w:bCs/>
          <w:color w:val="000000"/>
          <w:lang w:eastAsia="it-IT"/>
        </w:rPr>
      </w:pPr>
      <w:bookmarkStart w:id="40" w:name="_Toc64210265"/>
      <w:r w:rsidRPr="00C939FF">
        <w:rPr>
          <w:i/>
          <w:iCs/>
        </w:rPr>
        <w:lastRenderedPageBreak/>
        <w:t xml:space="preserve">Tabella </w:t>
      </w:r>
      <w:r w:rsidR="00CE0B80" w:rsidRPr="00C939FF">
        <w:rPr>
          <w:i/>
          <w:iCs/>
        </w:rPr>
        <w:t>19</w:t>
      </w:r>
      <w:r w:rsidRPr="004E0FFB">
        <w:t xml:space="preserve"> </w:t>
      </w:r>
      <w:r>
        <w:rPr>
          <w:spacing w:val="-6"/>
        </w:rPr>
        <w:t>-</w:t>
      </w:r>
      <w:r w:rsidRPr="004E0FFB">
        <w:t xml:space="preserve"> Sud</w:t>
      </w:r>
      <w:bookmarkEnd w:id="40"/>
    </w:p>
    <w:tbl>
      <w:tblPr>
        <w:tblW w:w="6825" w:type="dxa"/>
        <w:tblBorders>
          <w:top w:val="single" w:sz="8" w:space="0" w:color="000099"/>
          <w:bottom w:val="single" w:sz="8" w:space="0" w:color="000099"/>
          <w:right w:val="single" w:sz="8" w:space="0" w:color="FFFFFF"/>
          <w:insideH w:val="single" w:sz="8" w:space="0" w:color="0000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323"/>
        <w:gridCol w:w="1323"/>
        <w:gridCol w:w="1323"/>
      </w:tblGrid>
      <w:tr w:rsidR="00F5490B" w:rsidRPr="004E0FFB" w14:paraId="21325524" w14:textId="77777777" w:rsidTr="00135C30">
        <w:trPr>
          <w:trHeight w:hRule="exact" w:val="397"/>
        </w:trPr>
        <w:tc>
          <w:tcPr>
            <w:tcW w:w="2856" w:type="dxa"/>
            <w:shd w:val="clear" w:color="auto" w:fill="000099"/>
            <w:vAlign w:val="center"/>
            <w:hideMark/>
          </w:tcPr>
          <w:p w14:paraId="700DD384" w14:textId="772C86D2" w:rsidR="00F5490B" w:rsidRPr="004E0FFB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4E0FF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5D784F4F" w14:textId="470C6ADB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6B877A50" w14:textId="4D105CF7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1323" w:type="dxa"/>
            <w:shd w:val="clear" w:color="auto" w:fill="000099"/>
            <w:vAlign w:val="center"/>
            <w:hideMark/>
          </w:tcPr>
          <w:p w14:paraId="476C4F7D" w14:textId="1D4AF248" w:rsidR="00F5490B" w:rsidRPr="004E0FFB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Var % 19-18</w:t>
            </w:r>
          </w:p>
        </w:tc>
      </w:tr>
      <w:tr w:rsidR="00F5490B" w:rsidRPr="000A361E" w14:paraId="062CCC2B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22F8FAAE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Ricavi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4B5AC51" w14:textId="5001F7D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29.631.522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8A087BB" w14:textId="348CC4A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31.404.007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183BE6B" w14:textId="1BC86C1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6,0%</w:t>
            </w:r>
          </w:p>
        </w:tc>
      </w:tr>
      <w:tr w:rsidR="00F5490B" w:rsidRPr="000A361E" w14:paraId="31577A4B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FA1310F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5E4096D" w14:textId="4D237D3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30.830.028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84A99E6" w14:textId="08071D8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32.678.575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0FEFDB2" w14:textId="1FDC43F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6,0%</w:t>
            </w:r>
          </w:p>
        </w:tc>
      </w:tr>
      <w:tr w:rsidR="00F5490B" w:rsidRPr="000A361E" w14:paraId="05648DF6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03FB66EB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Costi della Produzione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EA7E66A" w14:textId="11A0DC7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28.909.182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A3F4E51" w14:textId="59A1766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30.484.587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19AC6327" w14:textId="75A4317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5,4%</w:t>
            </w:r>
          </w:p>
        </w:tc>
      </w:tr>
      <w:tr w:rsidR="00F5490B" w:rsidRPr="000A361E" w14:paraId="10D18AA2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7DA6D215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Valore Aggiunto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3D666EB" w14:textId="08A23CB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7.716.723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336FF71" w14:textId="5561467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8.514.529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FF2631F" w14:textId="7C5E62A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10,3%</w:t>
            </w:r>
          </w:p>
        </w:tc>
      </w:tr>
      <w:tr w:rsidR="00F5490B" w:rsidRPr="000A361E" w14:paraId="25C1D6D0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51C031C2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EBITDA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541AF33" w14:textId="3D9D27B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2.937.789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3EB1B8E" w14:textId="0B09AB8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3.281.327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D8D033B" w14:textId="6C30B0E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11,7%</w:t>
            </w:r>
          </w:p>
        </w:tc>
      </w:tr>
      <w:tr w:rsidR="00F5490B" w:rsidRPr="000A361E" w14:paraId="6A895107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85A9E17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Risultato Operativo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76F987E" w14:textId="320FD8C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1.920.853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F3A0632" w14:textId="2493DCBB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2.193.995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00C7FA3" w14:textId="0D81F50C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14,2%</w:t>
            </w:r>
          </w:p>
        </w:tc>
      </w:tr>
      <w:tr w:rsidR="00F5490B" w:rsidRPr="000A361E" w14:paraId="1693E0F5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0F657F4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Attivo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5990062" w14:textId="6FE1B024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33.004.394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9B09A27" w14:textId="72CD9DFD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35.400.436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7168908" w14:textId="1E63542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7,3%</w:t>
            </w:r>
          </w:p>
        </w:tc>
      </w:tr>
      <w:tr w:rsidR="00F5490B" w:rsidRPr="000A361E" w14:paraId="4A2674D6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229E3CE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Tot. Debiti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C1536A4" w14:textId="3F266E8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18.640.784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4DE257E" w14:textId="41965001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19.591.689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9512C8A" w14:textId="053B888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5,1%</w:t>
            </w:r>
          </w:p>
        </w:tc>
      </w:tr>
      <w:tr w:rsidR="00F5490B" w:rsidRPr="000A361E" w14:paraId="177C336D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05D1341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Patr.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DB87277" w14:textId="0C97E2E8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12.156.620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380C0E81" w14:textId="28F33F3F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13.318.295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41954B72" w14:textId="7CFF7E49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9,6%</w:t>
            </w:r>
          </w:p>
        </w:tc>
      </w:tr>
      <w:tr w:rsidR="00F5490B" w:rsidRPr="000A361E" w14:paraId="420B6B98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12CD9C5D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Cap. Circ. Netto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4F4655D" w14:textId="4506E0C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9.023.505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5EE188DC" w14:textId="5C553F9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7.204.777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D4C454E" w14:textId="10C4F0CA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-20,2%</w:t>
            </w:r>
          </w:p>
        </w:tc>
      </w:tr>
      <w:tr w:rsidR="00F5490B" w:rsidRPr="000A361E" w14:paraId="57FDB413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4B2B9124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Pos. Fin. Netta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616BF3A2" w14:textId="7AC08DB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3.230.570.600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056E7ABA" w14:textId="2E0D4E0E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3.100.570.500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A66E21F" w14:textId="54EB99C2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-4,0%</w:t>
            </w:r>
          </w:p>
        </w:tc>
      </w:tr>
      <w:tr w:rsidR="00F5490B" w:rsidRPr="000A361E" w14:paraId="0FAF97A3" w14:textId="77777777" w:rsidTr="00135C30">
        <w:trPr>
          <w:trHeight w:hRule="exact" w:val="265"/>
        </w:trPr>
        <w:tc>
          <w:tcPr>
            <w:tcW w:w="2856" w:type="dxa"/>
            <w:shd w:val="clear" w:color="auto" w:fill="auto"/>
            <w:noWrap/>
            <w:vAlign w:val="center"/>
            <w:hideMark/>
          </w:tcPr>
          <w:p w14:paraId="3AF21DA3" w14:textId="77777777" w:rsidR="00F5490B" w:rsidRPr="00BA303A" w:rsidRDefault="00F5490B" w:rsidP="007F5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A30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Flusso di cassa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567BCCB" w14:textId="7A148683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2.286.435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27C2BBFF" w14:textId="47C07E76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2.577.294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14:paraId="74B2F00A" w14:textId="71480205" w:rsidR="00F5490B" w:rsidRPr="00BA303A" w:rsidRDefault="00F5490B" w:rsidP="007F5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12,7%</w:t>
            </w:r>
          </w:p>
        </w:tc>
      </w:tr>
    </w:tbl>
    <w:p w14:paraId="447C0CBF" w14:textId="77777777" w:rsidR="00C71F07" w:rsidRPr="00C71F07" w:rsidRDefault="00C71F07" w:rsidP="00C71F07">
      <w:pPr>
        <w:pStyle w:val="Didascalia"/>
        <w:spacing w:after="40"/>
        <w:jc w:val="both"/>
        <w:rPr>
          <w:rFonts w:cs="Times New Roman"/>
          <w:color w:val="auto"/>
          <w:spacing w:val="-6"/>
          <w:sz w:val="16"/>
          <w:szCs w:val="16"/>
        </w:rPr>
      </w:pPr>
      <w:r w:rsidRPr="00C71F07">
        <w:rPr>
          <w:rFonts w:cs="Times New Roman"/>
          <w:color w:val="auto"/>
          <w:spacing w:val="-6"/>
          <w:sz w:val="16"/>
          <w:szCs w:val="16"/>
        </w:rPr>
        <w:t>dati in mgl. di euro</w:t>
      </w:r>
    </w:p>
    <w:p w14:paraId="69FC27E0" w14:textId="77777777" w:rsidR="00B6280A" w:rsidRDefault="00B6280A">
      <w:pPr>
        <w:pStyle w:val="Titolo1"/>
      </w:pPr>
      <w:bookmarkStart w:id="41" w:name="_Toc25058706"/>
    </w:p>
    <w:p w14:paraId="5A17B0F1" w14:textId="77777777" w:rsidR="00B6280A" w:rsidRDefault="00B6280A">
      <w:pPr>
        <w:rPr>
          <w:rFonts w:eastAsiaTheme="majorEastAsia" w:cstheme="majorBidi"/>
          <w:b/>
          <w:sz w:val="24"/>
          <w:szCs w:val="32"/>
        </w:rPr>
      </w:pPr>
      <w:r>
        <w:br w:type="page"/>
      </w:r>
    </w:p>
    <w:p w14:paraId="38AF550E" w14:textId="0992A6DA" w:rsidR="000C7805" w:rsidRPr="00C528DB" w:rsidRDefault="00F34732" w:rsidP="00135C30">
      <w:pPr>
        <w:pStyle w:val="Titolo1"/>
        <w:spacing w:line="300" w:lineRule="auto"/>
      </w:pPr>
      <w:bookmarkStart w:id="42" w:name="_Toc64210266"/>
      <w:r w:rsidRPr="00C528DB">
        <w:lastRenderedPageBreak/>
        <w:t>Nota metodologica</w:t>
      </w:r>
      <w:bookmarkEnd w:id="41"/>
      <w:bookmarkEnd w:id="42"/>
    </w:p>
    <w:p w14:paraId="050F071F" w14:textId="2A4506AB" w:rsidR="000C7805" w:rsidRPr="0045632A" w:rsidRDefault="0045632A" w:rsidP="007F5278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A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partire dai dati contenuti nella </w:t>
      </w:r>
      <w:r w:rsidR="000C7805" w:rsidRPr="00BA23AD">
        <w:rPr>
          <w:rFonts w:eastAsia="Times New Roman" w:cs="Times New Roman"/>
          <w:bCs/>
          <w:color w:val="000000"/>
          <w:szCs w:val="24"/>
          <w:lang w:eastAsia="it-IT"/>
        </w:rPr>
        <w:t>Banca dati AIDA</w:t>
      </w:r>
      <w:r w:rsidR="008F540A">
        <w:rPr>
          <w:rFonts w:eastAsia="Times New Roman" w:cs="Times New Roman"/>
          <w:bCs/>
          <w:color w:val="000000"/>
          <w:szCs w:val="24"/>
          <w:lang w:eastAsia="it-IT"/>
        </w:rPr>
        <w:t>-</w:t>
      </w:r>
      <w:r w:rsidR="000C7805" w:rsidRPr="00BA23AD">
        <w:rPr>
          <w:rFonts w:eastAsia="Times New Roman" w:cs="Times New Roman"/>
          <w:bCs/>
          <w:color w:val="000000"/>
          <w:szCs w:val="24"/>
          <w:lang w:eastAsia="it-IT"/>
        </w:rPr>
        <w:t>B</w:t>
      </w:r>
      <w:r w:rsidR="008F540A">
        <w:rPr>
          <w:rFonts w:eastAsia="Times New Roman" w:cs="Times New Roman"/>
          <w:bCs/>
          <w:color w:val="000000"/>
          <w:szCs w:val="24"/>
          <w:lang w:eastAsia="it-IT"/>
        </w:rPr>
        <w:t>u</w:t>
      </w:r>
      <w:r w:rsidR="000C7805" w:rsidRPr="00BA23AD">
        <w:rPr>
          <w:rFonts w:eastAsia="Times New Roman" w:cs="Times New Roman"/>
          <w:bCs/>
          <w:color w:val="000000"/>
          <w:szCs w:val="24"/>
          <w:lang w:eastAsia="it-IT"/>
        </w:rPr>
        <w:t>reau Van Dick, sono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state effettuate due differenti estrazioni di dati. Nella prima, sono state estratte le </w:t>
      </w:r>
      <w:r w:rsidR="000C7805">
        <w:rPr>
          <w:rFonts w:eastAsia="Times New Roman" w:cs="Times New Roman"/>
          <w:bCs/>
          <w:color w:val="000000"/>
          <w:szCs w:val="24"/>
          <w:lang w:eastAsia="it-IT"/>
        </w:rPr>
        <w:t>Srl</w:t>
      </w:r>
      <w:r>
        <w:rPr>
          <w:rFonts w:eastAsia="Times New Roman" w:cs="Times New Roman"/>
          <w:bCs/>
          <w:color w:val="000000"/>
          <w:szCs w:val="24"/>
          <w:lang w:eastAsia="it-IT"/>
        </w:rPr>
        <w:t xml:space="preserve"> attive </w:t>
      </w:r>
      <w:r w:rsidR="00486F3C">
        <w:rPr>
          <w:rFonts w:eastAsia="Times New Roman" w:cs="Times New Roman"/>
          <w:bCs/>
          <w:color w:val="000000"/>
          <w:szCs w:val="24"/>
          <w:lang w:eastAsia="it-IT"/>
        </w:rPr>
        <w:t xml:space="preserve">nel settore manifatturiero </w:t>
      </w:r>
      <w:r w:rsidR="003C547A">
        <w:rPr>
          <w:rFonts w:eastAsia="Times New Roman" w:cs="Times New Roman"/>
          <w:bCs/>
          <w:color w:val="000000"/>
          <w:szCs w:val="24"/>
          <w:lang w:eastAsia="it-IT"/>
        </w:rPr>
        <w:t>con bilancio 2017, 2018 e 2019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e per queste sono stati rilevati il numero, </w:t>
      </w:r>
      <w:r w:rsidR="000C7805" w:rsidRPr="0045632A">
        <w:rPr>
          <w:rFonts w:eastAsia="Times New Roman" w:cs="Times New Roman"/>
          <w:bCs/>
          <w:color w:val="000000"/>
          <w:szCs w:val="24"/>
          <w:lang w:eastAsia="it-IT"/>
        </w:rPr>
        <w:t>gli addetti, il valore della pro</w:t>
      </w:r>
      <w:r w:rsidR="00B6280A">
        <w:rPr>
          <w:rFonts w:eastAsia="Times New Roman" w:cs="Times New Roman"/>
          <w:bCs/>
          <w:color w:val="000000"/>
          <w:szCs w:val="24"/>
          <w:lang w:eastAsia="it-IT"/>
        </w:rPr>
        <w:t>duzione e</w:t>
      </w:r>
      <w:r w:rsidR="000C7805"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il valore aggiunto </w:t>
      </w:r>
      <w:r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così </w:t>
      </w:r>
      <w:r w:rsidR="003C547A">
        <w:rPr>
          <w:rFonts w:eastAsia="Times New Roman" w:cs="Times New Roman"/>
          <w:bCs/>
          <w:color w:val="000000"/>
          <w:szCs w:val="24"/>
          <w:lang w:eastAsia="it-IT"/>
        </w:rPr>
        <w:t>da poter calcolare il trend 2019/2018</w:t>
      </w:r>
      <w:r w:rsidR="000C7805" w:rsidRPr="0045632A">
        <w:rPr>
          <w:rFonts w:eastAsia="Times New Roman" w:cs="Times New Roman"/>
          <w:bCs/>
          <w:color w:val="000000"/>
          <w:szCs w:val="24"/>
          <w:lang w:eastAsia="it-IT"/>
        </w:rPr>
        <w:t>.</w:t>
      </w:r>
      <w:r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</w:t>
      </w:r>
      <w:r w:rsidR="00B6280A">
        <w:rPr>
          <w:rFonts w:eastAsia="Times New Roman" w:cs="Times New Roman"/>
          <w:bCs/>
          <w:color w:val="000000"/>
          <w:szCs w:val="24"/>
          <w:lang w:eastAsia="it-IT"/>
        </w:rPr>
        <w:t>Nella seconda, ai fini della elaborazione degli indici di bilancio e di altri indicatori economico-finanziari,</w:t>
      </w:r>
      <w:r w:rsidR="000C7805"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sono state individuate le Srl attive del settore </w:t>
      </w:r>
      <w:r w:rsidR="008F540A" w:rsidRPr="0045632A">
        <w:rPr>
          <w:rFonts w:eastAsia="Times New Roman" w:cs="Times New Roman"/>
          <w:bCs/>
          <w:color w:val="000000"/>
          <w:szCs w:val="24"/>
          <w:lang w:eastAsia="it-IT"/>
        </w:rPr>
        <w:t>I</w:t>
      </w:r>
      <w:r w:rsidR="00D45781" w:rsidRPr="0045632A">
        <w:rPr>
          <w:rFonts w:eastAsia="Times New Roman" w:cs="Times New Roman"/>
          <w:bCs/>
          <w:color w:val="000000"/>
          <w:szCs w:val="24"/>
          <w:lang w:eastAsia="it-IT"/>
        </w:rPr>
        <w:t>ndustria</w:t>
      </w:r>
      <w:r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con </w:t>
      </w:r>
      <w:r w:rsidR="00B6280A">
        <w:rPr>
          <w:rFonts w:eastAsia="Times New Roman" w:cs="Times New Roman"/>
          <w:bCs/>
          <w:color w:val="000000"/>
          <w:szCs w:val="24"/>
          <w:lang w:eastAsia="it-IT"/>
        </w:rPr>
        <w:t>risultato di esercizio</w:t>
      </w:r>
      <w:r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e patrimonio netto positivi. </w:t>
      </w:r>
      <w:r w:rsidRPr="00D14C67">
        <w:rPr>
          <w:rFonts w:eastAsia="Times New Roman" w:cs="Times New Roman"/>
          <w:bCs/>
          <w:color w:val="000000"/>
          <w:szCs w:val="24"/>
          <w:lang w:eastAsia="it-IT"/>
        </w:rPr>
        <w:t>I</w:t>
      </w:r>
      <w:r w:rsidR="000C7805" w:rsidRPr="00D14C67">
        <w:rPr>
          <w:rFonts w:eastAsia="Times New Roman" w:cs="Times New Roman"/>
          <w:bCs/>
          <w:color w:val="000000"/>
          <w:szCs w:val="24"/>
          <w:lang w:eastAsia="it-IT"/>
        </w:rPr>
        <w:t>noltre, l’analisi a questo livello ha permesso di rilevare come</w:t>
      </w:r>
      <w:r w:rsidR="008F540A" w:rsidRPr="00D14C67">
        <w:rPr>
          <w:rFonts w:eastAsia="Times New Roman" w:cs="Times New Roman"/>
          <w:bCs/>
          <w:color w:val="000000"/>
          <w:szCs w:val="24"/>
          <w:lang w:eastAsia="it-IT"/>
        </w:rPr>
        <w:t xml:space="preserve"> </w:t>
      </w:r>
      <w:r w:rsidR="00D14C67" w:rsidRPr="00D14C67">
        <w:rPr>
          <w:rFonts w:eastAsia="Times New Roman" w:cs="Times New Roman"/>
          <w:bCs/>
          <w:color w:val="000000"/>
          <w:szCs w:val="24"/>
          <w:lang w:eastAsia="it-IT"/>
        </w:rPr>
        <w:t>il 96,5</w:t>
      </w:r>
      <w:r w:rsidR="000C7805" w:rsidRPr="00D14C67">
        <w:rPr>
          <w:rFonts w:eastAsia="Times New Roman" w:cs="Times New Roman"/>
          <w:bCs/>
          <w:color w:val="000000"/>
          <w:szCs w:val="24"/>
          <w:lang w:eastAsia="it-IT"/>
        </w:rPr>
        <w:t xml:space="preserve">% del Srl attive del settore </w:t>
      </w:r>
      <w:r w:rsidR="00D45781" w:rsidRPr="00D14C67">
        <w:rPr>
          <w:rFonts w:eastAsia="Times New Roman" w:cs="Times New Roman"/>
          <w:bCs/>
          <w:color w:val="000000"/>
          <w:szCs w:val="24"/>
          <w:lang w:eastAsia="it-IT"/>
        </w:rPr>
        <w:t>industria</w:t>
      </w:r>
      <w:r w:rsidR="000C7805" w:rsidRPr="00D14C67">
        <w:rPr>
          <w:rFonts w:eastAsia="Times New Roman" w:cs="Times New Roman"/>
          <w:bCs/>
          <w:color w:val="000000"/>
          <w:szCs w:val="24"/>
          <w:lang w:eastAsia="it-IT"/>
        </w:rPr>
        <w:t xml:space="preserve"> presenti un patri</w:t>
      </w:r>
      <w:r w:rsidRPr="00D14C67">
        <w:rPr>
          <w:rFonts w:eastAsia="Times New Roman" w:cs="Times New Roman"/>
          <w:bCs/>
          <w:color w:val="000000"/>
          <w:szCs w:val="24"/>
          <w:lang w:eastAsia="it-IT"/>
        </w:rPr>
        <w:t>m</w:t>
      </w:r>
      <w:r w:rsidR="00D14C67" w:rsidRPr="00D14C67">
        <w:rPr>
          <w:rFonts w:eastAsia="Times New Roman" w:cs="Times New Roman"/>
          <w:bCs/>
          <w:color w:val="000000"/>
          <w:szCs w:val="24"/>
          <w:lang w:eastAsia="it-IT"/>
        </w:rPr>
        <w:t>onio netto positivo, mentre l’80,5</w:t>
      </w:r>
      <w:r w:rsidR="000C7805" w:rsidRPr="00D14C67">
        <w:rPr>
          <w:rFonts w:eastAsia="Times New Roman" w:cs="Times New Roman"/>
          <w:bCs/>
          <w:color w:val="000000"/>
          <w:szCs w:val="24"/>
          <w:lang w:eastAsia="it-IT"/>
        </w:rPr>
        <w:t xml:space="preserve">% </w:t>
      </w:r>
      <w:r w:rsidR="008F540A" w:rsidRPr="00D14C67">
        <w:rPr>
          <w:rFonts w:eastAsia="Times New Roman" w:cs="Times New Roman"/>
          <w:bCs/>
          <w:color w:val="000000"/>
          <w:szCs w:val="24"/>
          <w:lang w:eastAsia="it-IT"/>
        </w:rPr>
        <w:t>abbia</w:t>
      </w:r>
      <w:r w:rsidR="000C7805" w:rsidRPr="00D14C67">
        <w:rPr>
          <w:rFonts w:eastAsia="Times New Roman" w:cs="Times New Roman"/>
          <w:bCs/>
          <w:color w:val="000000"/>
          <w:szCs w:val="24"/>
          <w:lang w:eastAsia="it-IT"/>
        </w:rPr>
        <w:t xml:space="preserve"> un reddito netto positivo.</w:t>
      </w:r>
      <w:r w:rsidR="000C7805" w:rsidRPr="0045632A">
        <w:rPr>
          <w:rFonts w:eastAsia="Times New Roman" w:cs="Times New Roman"/>
          <w:bCs/>
          <w:color w:val="000000"/>
          <w:szCs w:val="24"/>
          <w:lang w:eastAsia="it-IT"/>
        </w:rPr>
        <w:t xml:space="preserve"> </w:t>
      </w:r>
    </w:p>
    <w:p w14:paraId="2C90D3B4" w14:textId="77777777" w:rsidR="000C7805" w:rsidRPr="009345D9" w:rsidRDefault="000C7805" w:rsidP="007F5278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45632A">
        <w:rPr>
          <w:rFonts w:eastAsia="Times New Roman" w:cs="Times New Roman"/>
          <w:bCs/>
          <w:color w:val="000000"/>
          <w:szCs w:val="24"/>
          <w:lang w:eastAsia="it-IT"/>
        </w:rPr>
        <w:t>Pertanto, al fine di condurre un’analisi dei bilanci non influenzata da valori negativi del patrimonio e del reddito, soprattutto considerando che il metodo di analisi scelto è stato quello dell’aggregazione dei valori dei singoli bilanci delle Srl esaminate, si è scelto di escludere dall’analisi sia le Srl con patrimonio netto negativo sia quelle con reddito netto negativo.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</w:t>
      </w:r>
    </w:p>
    <w:p w14:paraId="35E94AE7" w14:textId="075DA38C" w:rsidR="00A86E35" w:rsidRPr="009345D9" w:rsidRDefault="000C7805" w:rsidP="007F5278">
      <w:pPr>
        <w:spacing w:before="120" w:after="12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Infine, per poter effettuare anche un’analisi dei trend annuali, sono state considerate unicamente le </w:t>
      </w:r>
      <w:r>
        <w:rPr>
          <w:rFonts w:eastAsia="Times New Roman" w:cs="Times New Roman"/>
          <w:bCs/>
          <w:color w:val="000000"/>
          <w:szCs w:val="24"/>
          <w:lang w:eastAsia="it-IT"/>
        </w:rPr>
        <w:t>Srl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del settore </w:t>
      </w:r>
      <w:r>
        <w:rPr>
          <w:rFonts w:eastAsia="Times New Roman" w:cs="Times New Roman"/>
          <w:bCs/>
          <w:color w:val="000000"/>
          <w:szCs w:val="24"/>
          <w:lang w:eastAsia="it-IT"/>
        </w:rPr>
        <w:t>industria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con bilanci disponibili per gli anni 201</w:t>
      </w:r>
      <w:r w:rsidR="00AF4E73">
        <w:rPr>
          <w:rFonts w:eastAsia="Times New Roman" w:cs="Times New Roman"/>
          <w:bCs/>
          <w:color w:val="000000"/>
          <w:szCs w:val="24"/>
          <w:lang w:eastAsia="it-IT"/>
        </w:rPr>
        <w:t>6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, 201</w:t>
      </w:r>
      <w:r w:rsidR="00AF4E73">
        <w:rPr>
          <w:rFonts w:eastAsia="Times New Roman" w:cs="Times New Roman"/>
          <w:bCs/>
          <w:color w:val="000000"/>
          <w:szCs w:val="24"/>
          <w:lang w:eastAsia="it-IT"/>
        </w:rPr>
        <w:t>7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e 201</w:t>
      </w:r>
      <w:r w:rsidR="00AF4E73">
        <w:rPr>
          <w:rFonts w:eastAsia="Times New Roman" w:cs="Times New Roman"/>
          <w:bCs/>
          <w:color w:val="000000"/>
          <w:szCs w:val="24"/>
          <w:lang w:eastAsia="it-IT"/>
        </w:rPr>
        <w:t>8</w:t>
      </w:r>
      <w:r w:rsidR="004C46B3">
        <w:rPr>
          <w:rFonts w:eastAsia="Times New Roman" w:cs="Times New Roman"/>
          <w:bCs/>
          <w:color w:val="000000"/>
          <w:szCs w:val="24"/>
          <w:lang w:eastAsia="it-IT"/>
        </w:rPr>
        <w:t xml:space="preserve">, selezionate 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sulla base dei seguenti codici ateco:</w:t>
      </w:r>
    </w:p>
    <w:p w14:paraId="51EB3E08" w14:textId="77777777" w:rsidR="000C7805" w:rsidRPr="009345D9" w:rsidRDefault="00A86E35" w:rsidP="00892313">
      <w:pPr>
        <w:pStyle w:val="Paragrafoelenco"/>
        <w:numPr>
          <w:ilvl w:val="0"/>
          <w:numId w:val="40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10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: </w:t>
      </w:r>
      <w:r>
        <w:rPr>
          <w:rFonts w:eastAsia="Times New Roman" w:cs="Times New Roman"/>
          <w:bCs/>
          <w:color w:val="000000"/>
          <w:szCs w:val="24"/>
          <w:lang w:eastAsia="it-IT"/>
        </w:rPr>
        <w:t>industrie alimentari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>;</w:t>
      </w:r>
    </w:p>
    <w:p w14:paraId="48B7A900" w14:textId="77777777" w:rsidR="000C7805" w:rsidRPr="009345D9" w:rsidRDefault="00A86E35" w:rsidP="00892313">
      <w:pPr>
        <w:pStyle w:val="Paragrafoelenco"/>
        <w:numPr>
          <w:ilvl w:val="0"/>
          <w:numId w:val="40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11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: </w:t>
      </w:r>
      <w:r>
        <w:rPr>
          <w:rFonts w:eastAsia="Times New Roman" w:cs="Times New Roman"/>
          <w:bCs/>
          <w:color w:val="000000"/>
          <w:szCs w:val="24"/>
          <w:lang w:eastAsia="it-IT"/>
        </w:rPr>
        <w:t>industria delle bevande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>;</w:t>
      </w:r>
    </w:p>
    <w:p w14:paraId="48DB34A6" w14:textId="77777777" w:rsidR="000C780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12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: </w:t>
      </w:r>
      <w:r>
        <w:rPr>
          <w:rFonts w:eastAsia="Times New Roman" w:cs="Times New Roman"/>
          <w:bCs/>
          <w:color w:val="000000"/>
          <w:szCs w:val="24"/>
          <w:lang w:eastAsia="it-IT"/>
        </w:rPr>
        <w:t>industria del tabacco;</w:t>
      </w:r>
    </w:p>
    <w:p w14:paraId="1C7FA15E" w14:textId="77777777" w:rsidR="00A86E3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13: industria tessile;</w:t>
      </w:r>
    </w:p>
    <w:p w14:paraId="675E5D8D" w14:textId="77777777" w:rsidR="00A86E3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14: confezione di articoli di abbigliamento; confezioni di articoli in pelle e pelliccia</w:t>
      </w:r>
    </w:p>
    <w:p w14:paraId="2A37D23A" w14:textId="77777777" w:rsidR="00A86E3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15: fabbricazione di articoli in pelle e simili;</w:t>
      </w:r>
    </w:p>
    <w:p w14:paraId="3A88B30B" w14:textId="10730CEB" w:rsidR="00A86E3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16: industria del legno e dei prodotti in legno e sughero (esc</w:t>
      </w:r>
      <w:r w:rsidR="00E46357">
        <w:rPr>
          <w:rFonts w:eastAsia="Times New Roman" w:cs="Times New Roman"/>
          <w:bCs/>
          <w:color w:val="000000"/>
          <w:szCs w:val="24"/>
          <w:lang w:eastAsia="it-IT"/>
        </w:rPr>
        <w:t>l</w:t>
      </w:r>
      <w:r>
        <w:rPr>
          <w:rFonts w:eastAsia="Times New Roman" w:cs="Times New Roman"/>
          <w:bCs/>
          <w:color w:val="000000"/>
          <w:szCs w:val="24"/>
          <w:lang w:eastAsia="it-IT"/>
        </w:rPr>
        <w:t>usi i mobili);</w:t>
      </w:r>
    </w:p>
    <w:p w14:paraId="29497AC6" w14:textId="77777777" w:rsidR="00A86E35" w:rsidRDefault="00A86E35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 xml:space="preserve">17: </w:t>
      </w:r>
      <w:r w:rsidR="00E17B51">
        <w:rPr>
          <w:rFonts w:eastAsia="Times New Roman" w:cs="Times New Roman"/>
          <w:bCs/>
          <w:color w:val="000000"/>
          <w:szCs w:val="24"/>
          <w:lang w:eastAsia="it-IT"/>
        </w:rPr>
        <w:t>f</w:t>
      </w:r>
      <w:r>
        <w:rPr>
          <w:rFonts w:eastAsia="Times New Roman" w:cs="Times New Roman"/>
          <w:bCs/>
          <w:color w:val="000000"/>
          <w:szCs w:val="24"/>
          <w:lang w:eastAsia="it-IT"/>
        </w:rPr>
        <w:t>abbricazione di carta</w:t>
      </w:r>
      <w:r w:rsidR="00E17B51">
        <w:rPr>
          <w:rFonts w:eastAsia="Times New Roman" w:cs="Times New Roman"/>
          <w:bCs/>
          <w:color w:val="000000"/>
          <w:szCs w:val="24"/>
          <w:lang w:eastAsia="it-IT"/>
        </w:rPr>
        <w:t xml:space="preserve"> e di prodotti di carta;</w:t>
      </w:r>
    </w:p>
    <w:p w14:paraId="02F7C63D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18: stampa e riproduzione di supporti registrati;</w:t>
      </w:r>
    </w:p>
    <w:p w14:paraId="767CD07F" w14:textId="4FE3FFF8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19</w:t>
      </w:r>
      <w:r w:rsidR="00D450E9">
        <w:rPr>
          <w:rFonts w:eastAsia="Times New Roman" w:cs="Times New Roman"/>
          <w:bCs/>
          <w:color w:val="000000"/>
          <w:szCs w:val="24"/>
          <w:lang w:eastAsia="it-IT"/>
        </w:rPr>
        <w:t>:</w:t>
      </w:r>
      <w:r>
        <w:rPr>
          <w:rFonts w:eastAsia="Times New Roman" w:cs="Times New Roman"/>
          <w:bCs/>
          <w:color w:val="000000"/>
          <w:szCs w:val="24"/>
          <w:lang w:eastAsia="it-IT"/>
        </w:rPr>
        <w:t xml:space="preserve"> fabbricazione di cake e prodotti derivati dalla raffinazione del petrolio;</w:t>
      </w:r>
    </w:p>
    <w:p w14:paraId="2D579D23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20: fabbricazione di prodotti chimici;</w:t>
      </w:r>
    </w:p>
    <w:p w14:paraId="15342202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21: fabbricazione di prodotti farmaceutici di base e di preparati farmaceutici;</w:t>
      </w:r>
    </w:p>
    <w:p w14:paraId="0C09557C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22: fabbricazione di articoli in gomma e materie plastiche;</w:t>
      </w:r>
    </w:p>
    <w:p w14:paraId="5D2136B5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23: fabbricazione di altri prodotti della lavorazione di minerali non metalliferi;</w:t>
      </w:r>
    </w:p>
    <w:p w14:paraId="5E3CB497" w14:textId="77777777" w:rsidR="0081447B" w:rsidRPr="001C400B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1C400B">
        <w:rPr>
          <w:rFonts w:eastAsia="Times New Roman" w:cs="Times New Roman"/>
          <w:bCs/>
          <w:color w:val="000000"/>
          <w:szCs w:val="24"/>
          <w:lang w:eastAsia="it-IT"/>
        </w:rPr>
        <w:t>24: metallurgia;</w:t>
      </w:r>
    </w:p>
    <w:p w14:paraId="59E8E1D7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25: fabbricazione di prodotti in metallo (esclusi macchinari e attrezzature);</w:t>
      </w:r>
    </w:p>
    <w:p w14:paraId="562CDEE7" w14:textId="77777777" w:rsidR="00E17B51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26: fabbricazione di computer e prodotti di elettronica e ottica; apparecchi elettromedicali, apparecchi di misurazione e di orologi;</w:t>
      </w:r>
    </w:p>
    <w:p w14:paraId="1270300B" w14:textId="77777777" w:rsidR="0081447B" w:rsidRPr="0081447B" w:rsidRDefault="00E17B51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 xml:space="preserve">27: </w:t>
      </w:r>
      <w:r w:rsidR="002334CC">
        <w:rPr>
          <w:rFonts w:eastAsia="Times New Roman" w:cs="Times New Roman"/>
          <w:bCs/>
          <w:color w:val="000000"/>
          <w:szCs w:val="24"/>
          <w:lang w:eastAsia="it-IT"/>
        </w:rPr>
        <w:t>fabbricazione di apparecchiature elettriche ed apparecchiature per uso domestico non elettriche</w:t>
      </w:r>
      <w:r w:rsidR="0081447B">
        <w:rPr>
          <w:rFonts w:eastAsia="Times New Roman" w:cs="Times New Roman"/>
          <w:bCs/>
          <w:color w:val="000000"/>
          <w:szCs w:val="24"/>
          <w:lang w:eastAsia="it-IT"/>
        </w:rPr>
        <w:t>;</w:t>
      </w:r>
    </w:p>
    <w:p w14:paraId="74EFCD97" w14:textId="77777777" w:rsidR="002334CC" w:rsidRDefault="002334CC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28: fabbricazione di macchinari ed apparecchiature nca;</w:t>
      </w:r>
    </w:p>
    <w:p w14:paraId="2EAF1184" w14:textId="77777777" w:rsidR="002334CC" w:rsidRDefault="00304BD8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29: f</w:t>
      </w:r>
      <w:r w:rsidR="002334CC">
        <w:rPr>
          <w:rFonts w:eastAsia="Times New Roman" w:cs="Times New Roman"/>
          <w:bCs/>
          <w:color w:val="000000"/>
          <w:szCs w:val="24"/>
          <w:lang w:eastAsia="it-IT"/>
        </w:rPr>
        <w:t>abbricazione di autoveicoli</w:t>
      </w:r>
      <w:r>
        <w:rPr>
          <w:rFonts w:eastAsia="Times New Roman" w:cs="Times New Roman"/>
          <w:bCs/>
          <w:color w:val="000000"/>
          <w:szCs w:val="24"/>
          <w:lang w:eastAsia="it-IT"/>
        </w:rPr>
        <w:t>, rimorchi e semirimorchi;</w:t>
      </w:r>
    </w:p>
    <w:p w14:paraId="0D3FD1F1" w14:textId="77777777" w:rsidR="00304BD8" w:rsidRDefault="00304BD8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30: fabbricazione di altri mezzi di trasporto;</w:t>
      </w:r>
    </w:p>
    <w:p w14:paraId="6465CDFC" w14:textId="77777777" w:rsidR="00304BD8" w:rsidRDefault="00304BD8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lastRenderedPageBreak/>
        <w:t>31: fabbricazione di mobili;</w:t>
      </w:r>
    </w:p>
    <w:p w14:paraId="309C28AB" w14:textId="77777777" w:rsidR="00304BD8" w:rsidRPr="009345D9" w:rsidRDefault="00304BD8" w:rsidP="00892313">
      <w:pPr>
        <w:pStyle w:val="Paragrafoelenco"/>
        <w:numPr>
          <w:ilvl w:val="0"/>
          <w:numId w:val="41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32: altre industrie manifatturiere;</w:t>
      </w:r>
    </w:p>
    <w:p w14:paraId="7AE324EC" w14:textId="4B5C3948" w:rsidR="000C7805" w:rsidRPr="009345D9" w:rsidRDefault="008F540A" w:rsidP="00160C6E">
      <w:pPr>
        <w:spacing w:before="120"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Cs/>
          <w:color w:val="000000"/>
          <w:szCs w:val="24"/>
          <w:lang w:eastAsia="it-IT"/>
        </w:rPr>
        <w:t>Le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imprese rientranti nelle suddette categorie sono state</w:t>
      </w:r>
      <w:r>
        <w:rPr>
          <w:rFonts w:eastAsia="Times New Roman" w:cs="Times New Roman"/>
          <w:bCs/>
          <w:color w:val="000000"/>
          <w:szCs w:val="24"/>
          <w:lang w:eastAsia="it-IT"/>
        </w:rPr>
        <w:t xml:space="preserve"> poi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distinte per classe di fatturato e territorio.</w:t>
      </w:r>
    </w:p>
    <w:p w14:paraId="770C7515" w14:textId="339FA7D8" w:rsidR="000C7805" w:rsidRDefault="000C7805" w:rsidP="00160C6E">
      <w:pPr>
        <w:spacing w:after="12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Con riferimento al fatturato </w:t>
      </w:r>
      <w:r w:rsidR="008F540A">
        <w:rPr>
          <w:rFonts w:eastAsia="Times New Roman" w:cs="Times New Roman"/>
          <w:bCs/>
          <w:color w:val="000000"/>
          <w:szCs w:val="24"/>
          <w:lang w:eastAsia="it-IT"/>
        </w:rPr>
        <w:t>sono state individuate le seguenti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classi:</w:t>
      </w:r>
    </w:p>
    <w:tbl>
      <w:tblPr>
        <w:tblStyle w:val="Tabellagriglia4-colore11"/>
        <w:tblW w:w="3943" w:type="pct"/>
        <w:tblBorders>
          <w:top w:val="single" w:sz="6" w:space="0" w:color="000099"/>
          <w:left w:val="none" w:sz="0" w:space="0" w:color="auto"/>
          <w:bottom w:val="single" w:sz="6" w:space="0" w:color="000099"/>
          <w:right w:val="none" w:sz="0" w:space="0" w:color="auto"/>
          <w:insideH w:val="single" w:sz="6" w:space="0" w:color="0000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1780"/>
        <w:gridCol w:w="1771"/>
        <w:gridCol w:w="1774"/>
      </w:tblGrid>
      <w:tr w:rsidR="00AB509D" w:rsidRPr="00AB509D" w14:paraId="040D6792" w14:textId="77777777" w:rsidTr="00135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99"/>
            <w:vAlign w:val="center"/>
          </w:tcPr>
          <w:p w14:paraId="485871AA" w14:textId="77777777" w:rsidR="000C7805" w:rsidRPr="00AB509D" w:rsidRDefault="000C7805" w:rsidP="006239FE">
            <w:pPr>
              <w:jc w:val="center"/>
              <w:rPr>
                <w:rFonts w:eastAsia="Times New Roman" w:cs="Times New Roman"/>
                <w:bCs w:val="0"/>
                <w:color w:val="auto"/>
                <w:szCs w:val="24"/>
                <w:lang w:eastAsia="it-IT"/>
              </w:rPr>
            </w:pPr>
            <w:r w:rsidRPr="00AB509D">
              <w:rPr>
                <w:rFonts w:eastAsia="Times New Roman" w:cs="Times New Roman"/>
                <w:color w:val="auto"/>
                <w:szCs w:val="24"/>
                <w:lang w:eastAsia="it-IT"/>
              </w:rPr>
              <w:t>FATTURATO (valori espressi in migliaia di euro)</w:t>
            </w:r>
          </w:p>
        </w:tc>
      </w:tr>
      <w:tr w:rsidR="00AB509D" w:rsidRPr="00E46357" w14:paraId="3ED30CF3" w14:textId="77777777" w:rsidTr="00135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shd w:val="clear" w:color="auto" w:fill="auto"/>
            <w:vAlign w:val="center"/>
          </w:tcPr>
          <w:p w14:paraId="114AF33B" w14:textId="77777777" w:rsidR="000C7805" w:rsidRPr="00E46357" w:rsidRDefault="000C7805" w:rsidP="006239FE">
            <w:pPr>
              <w:jc w:val="center"/>
              <w:rPr>
                <w:rFonts w:eastAsia="Times New Roman" w:cs="Times New Roman"/>
                <w:bCs w:val="0"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sz w:val="20"/>
                <w:szCs w:val="24"/>
                <w:lang w:eastAsia="it-IT"/>
              </w:rPr>
              <w:t>Microimprese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0361D1D7" w14:textId="77777777" w:rsidR="000C7805" w:rsidRPr="00E46357" w:rsidRDefault="000C7805" w:rsidP="00623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  <w:t>Piccole imprese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5ABBC972" w14:textId="77777777" w:rsidR="000C7805" w:rsidRPr="00E46357" w:rsidRDefault="000C7805" w:rsidP="00623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  <w:t>Medio-Piccole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712BF7EC" w14:textId="77777777" w:rsidR="000C7805" w:rsidRPr="00E46357" w:rsidRDefault="000C7805" w:rsidP="00623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/>
                <w:bCs/>
                <w:sz w:val="20"/>
                <w:szCs w:val="24"/>
                <w:lang w:eastAsia="it-IT"/>
              </w:rPr>
              <w:t>Medio-Grandi</w:t>
            </w:r>
          </w:p>
        </w:tc>
      </w:tr>
      <w:tr w:rsidR="00AB509D" w:rsidRPr="00E46357" w14:paraId="36F15188" w14:textId="77777777" w:rsidTr="00135C3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shd w:val="clear" w:color="auto" w:fill="auto"/>
            <w:vAlign w:val="center"/>
          </w:tcPr>
          <w:p w14:paraId="41A495A0" w14:textId="77777777" w:rsidR="000C7805" w:rsidRPr="00E46357" w:rsidRDefault="000C7805" w:rsidP="006239FE">
            <w:pPr>
              <w:jc w:val="center"/>
              <w:rPr>
                <w:rFonts w:eastAsia="Times New Roman" w:cs="Times New Roman"/>
                <w:b w:val="0"/>
                <w:bCs w:val="0"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 w:val="0"/>
                <w:sz w:val="20"/>
                <w:szCs w:val="24"/>
                <w:lang w:eastAsia="it-IT"/>
              </w:rPr>
              <w:t>0-350</w:t>
            </w:r>
          </w:p>
        </w:tc>
        <w:tc>
          <w:tcPr>
            <w:tcW w:w="1244" w:type="pct"/>
            <w:shd w:val="clear" w:color="auto" w:fill="auto"/>
            <w:vAlign w:val="center"/>
          </w:tcPr>
          <w:p w14:paraId="620D02AD" w14:textId="77777777" w:rsidR="000C7805" w:rsidRPr="00E46357" w:rsidRDefault="000C7805" w:rsidP="00623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  <w:t>350-2.000</w:t>
            </w:r>
          </w:p>
        </w:tc>
        <w:tc>
          <w:tcPr>
            <w:tcW w:w="1238" w:type="pct"/>
            <w:shd w:val="clear" w:color="auto" w:fill="auto"/>
            <w:vAlign w:val="center"/>
          </w:tcPr>
          <w:p w14:paraId="282C81BD" w14:textId="77777777" w:rsidR="000C7805" w:rsidRPr="00E46357" w:rsidRDefault="000C7805" w:rsidP="00623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  <w:t>2.000–10.000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4E79EFCC" w14:textId="71CD819B" w:rsidR="000C7805" w:rsidRPr="00E46357" w:rsidRDefault="004C46B3" w:rsidP="00623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</w:pPr>
            <w:r w:rsidRPr="00E46357"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  <w:t>&gt;</w:t>
            </w:r>
            <w:r w:rsidR="000C7805" w:rsidRPr="00E46357">
              <w:rPr>
                <w:rFonts w:eastAsia="Times New Roman" w:cs="Times New Roman"/>
                <w:bCs/>
                <w:sz w:val="20"/>
                <w:szCs w:val="24"/>
                <w:lang w:eastAsia="it-IT"/>
              </w:rPr>
              <w:t xml:space="preserve"> 10.000</w:t>
            </w:r>
          </w:p>
        </w:tc>
      </w:tr>
    </w:tbl>
    <w:p w14:paraId="08C1B190" w14:textId="707854B7" w:rsidR="000C7805" w:rsidRPr="009345D9" w:rsidRDefault="000C7805" w:rsidP="00135C30">
      <w:pPr>
        <w:spacing w:before="24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 w:rsidRPr="009345D9">
        <w:rPr>
          <w:rFonts w:eastAsia="Times New Roman" w:cs="Times New Roman"/>
          <w:bCs/>
          <w:color w:val="000000"/>
          <w:lang w:eastAsia="it-IT"/>
        </w:rPr>
        <w:t>In merito alla distribuzione territoriale, le indagini sono state condotte per regioni e per macro</w:t>
      </w:r>
      <w:r w:rsidR="004C46B3">
        <w:rPr>
          <w:rFonts w:eastAsia="Times New Roman" w:cs="Times New Roman"/>
          <w:bCs/>
          <w:color w:val="000000"/>
          <w:lang w:eastAsia="it-IT"/>
        </w:rPr>
        <w:t>-</w:t>
      </w:r>
      <w:r w:rsidRPr="009345D9">
        <w:rPr>
          <w:rFonts w:eastAsia="Times New Roman" w:cs="Times New Roman"/>
          <w:bCs/>
          <w:color w:val="000000"/>
          <w:lang w:eastAsia="it-IT"/>
        </w:rPr>
        <w:t>regioni (Nord-Est, Nord-Ovest, Centro, Sud e Isole).</w:t>
      </w:r>
    </w:p>
    <w:p w14:paraId="09C5A9C6" w14:textId="575960C8" w:rsidR="000C7805" w:rsidRPr="009345D9" w:rsidRDefault="000C7805" w:rsidP="00135C30">
      <w:pPr>
        <w:spacing w:after="0" w:line="300" w:lineRule="auto"/>
        <w:jc w:val="both"/>
        <w:rPr>
          <w:rFonts w:eastAsia="Times New Roman" w:cs="Times New Roman"/>
          <w:bCs/>
          <w:color w:val="000000"/>
          <w:lang w:eastAsia="it-IT"/>
        </w:rPr>
      </w:pPr>
      <w:r w:rsidRPr="009345D9">
        <w:rPr>
          <w:rFonts w:eastAsia="Times New Roman" w:cs="Times New Roman"/>
          <w:bCs/>
          <w:color w:val="000000"/>
          <w:lang w:eastAsia="it-IT"/>
        </w:rPr>
        <w:t>Da un punto di vista metodologico, dunque, la presente ricerca è strutturata su tre livelli:</w:t>
      </w:r>
    </w:p>
    <w:p w14:paraId="7F0EB6D7" w14:textId="44D84FD9" w:rsidR="000C7805" w:rsidRPr="009345D9" w:rsidRDefault="000C7805" w:rsidP="00135C30">
      <w:pPr>
        <w:pStyle w:val="Paragrafoelenco"/>
        <w:numPr>
          <w:ilvl w:val="0"/>
          <w:numId w:val="20"/>
        </w:numPr>
        <w:spacing w:after="0" w:line="300" w:lineRule="auto"/>
        <w:ind w:left="426" w:hanging="284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p</w:t>
      </w:r>
      <w:r w:rsidRPr="009345D9">
        <w:rPr>
          <w:rFonts w:eastAsia="Times New Roman" w:cs="Times New Roman"/>
          <w:bCs/>
          <w:color w:val="000000"/>
          <w:lang w:eastAsia="it-IT"/>
        </w:rPr>
        <w:t>rimo livello di indagine</w:t>
      </w:r>
      <w:r w:rsidR="008F540A">
        <w:rPr>
          <w:rFonts w:eastAsia="Times New Roman" w:cs="Times New Roman"/>
          <w:bCs/>
          <w:color w:val="000000"/>
          <w:lang w:eastAsia="it-IT"/>
        </w:rPr>
        <w:t>: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 analisi macro, in cui si è proceduto a raccogliere ed elaborare i dati relativi alle società a responsabilità limitata attive a partire dai dati dei bilanci dell’anno 201</w:t>
      </w:r>
      <w:r>
        <w:rPr>
          <w:rFonts w:eastAsia="Times New Roman" w:cs="Times New Roman"/>
          <w:bCs/>
          <w:color w:val="000000"/>
          <w:lang w:eastAsia="it-IT"/>
        </w:rPr>
        <w:t>6</w:t>
      </w:r>
      <w:r w:rsidRPr="009345D9">
        <w:rPr>
          <w:rFonts w:eastAsia="Times New Roman" w:cs="Times New Roman"/>
          <w:bCs/>
          <w:color w:val="000000"/>
          <w:lang w:eastAsia="it-IT"/>
        </w:rPr>
        <w:t>;</w:t>
      </w:r>
    </w:p>
    <w:p w14:paraId="728952DC" w14:textId="5BD893EF" w:rsidR="000C7805" w:rsidRPr="009345D9" w:rsidRDefault="000C7805" w:rsidP="00135C30">
      <w:pPr>
        <w:pStyle w:val="Paragrafoelenco"/>
        <w:numPr>
          <w:ilvl w:val="0"/>
          <w:numId w:val="20"/>
        </w:numPr>
        <w:spacing w:after="0" w:line="300" w:lineRule="auto"/>
        <w:ind w:left="426" w:hanging="284"/>
        <w:jc w:val="both"/>
        <w:rPr>
          <w:rFonts w:eastAsia="Times New Roman" w:cs="Times New Roman"/>
          <w:bCs/>
          <w:color w:val="000000"/>
          <w:lang w:eastAsia="it-IT"/>
        </w:rPr>
      </w:pPr>
      <w:r w:rsidRPr="009345D9">
        <w:rPr>
          <w:rFonts w:eastAsia="Times New Roman" w:cs="Times New Roman"/>
          <w:bCs/>
          <w:color w:val="000000"/>
          <w:lang w:eastAsia="it-IT"/>
        </w:rPr>
        <w:t>secondo livello di indagine</w:t>
      </w:r>
      <w:r w:rsidR="008F540A">
        <w:rPr>
          <w:rFonts w:eastAsia="Times New Roman" w:cs="Times New Roman"/>
          <w:bCs/>
          <w:color w:val="000000"/>
          <w:lang w:eastAsia="it-IT"/>
        </w:rPr>
        <w:t>: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 analisi micro, nella quale ci si è soffermati su alcune voci del conto economico e dello stato patrimoniale registrati nelle </w:t>
      </w:r>
      <w:r>
        <w:rPr>
          <w:rFonts w:eastAsia="Times New Roman" w:cs="Times New Roman"/>
          <w:bCs/>
          <w:color w:val="000000"/>
          <w:lang w:eastAsia="it-IT"/>
        </w:rPr>
        <w:t>Srl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 attive del settore </w:t>
      </w:r>
      <w:r>
        <w:rPr>
          <w:rFonts w:eastAsia="Times New Roman" w:cs="Times New Roman"/>
          <w:bCs/>
          <w:color w:val="000000"/>
          <w:lang w:eastAsia="it-IT"/>
        </w:rPr>
        <w:t>industria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 aventi patrimonio netto e reddito netto positivi e con bilanci disponibili per gli anni 20</w:t>
      </w:r>
      <w:r>
        <w:rPr>
          <w:rFonts w:eastAsia="Times New Roman" w:cs="Times New Roman"/>
          <w:bCs/>
          <w:color w:val="000000"/>
          <w:lang w:eastAsia="it-IT"/>
        </w:rPr>
        <w:t>16</w:t>
      </w:r>
      <w:r w:rsidR="001B6615">
        <w:rPr>
          <w:rFonts w:eastAsia="Times New Roman" w:cs="Times New Roman"/>
          <w:bCs/>
          <w:color w:val="000000"/>
          <w:lang w:eastAsia="it-IT"/>
        </w:rPr>
        <w:t>, 2017 e 2018</w:t>
      </w:r>
      <w:r w:rsidRPr="009345D9">
        <w:rPr>
          <w:rFonts w:eastAsia="Times New Roman" w:cs="Times New Roman"/>
          <w:bCs/>
          <w:color w:val="000000"/>
          <w:lang w:eastAsia="it-IT"/>
        </w:rPr>
        <w:t>;</w:t>
      </w:r>
    </w:p>
    <w:p w14:paraId="193CAC66" w14:textId="22FD3949" w:rsidR="000C7805" w:rsidRPr="009345D9" w:rsidRDefault="000C7805" w:rsidP="00135C30">
      <w:pPr>
        <w:pStyle w:val="Paragrafoelenco"/>
        <w:numPr>
          <w:ilvl w:val="0"/>
          <w:numId w:val="20"/>
        </w:numPr>
        <w:spacing w:after="0" w:line="300" w:lineRule="auto"/>
        <w:ind w:left="426" w:hanging="284"/>
        <w:jc w:val="both"/>
        <w:rPr>
          <w:rFonts w:eastAsia="Times New Roman" w:cs="Times New Roman"/>
          <w:bCs/>
          <w:color w:val="000000"/>
          <w:lang w:eastAsia="it-IT"/>
        </w:rPr>
      </w:pPr>
      <w:r w:rsidRPr="009345D9">
        <w:rPr>
          <w:rFonts w:eastAsia="Times New Roman" w:cs="Times New Roman"/>
          <w:bCs/>
          <w:color w:val="000000"/>
          <w:lang w:eastAsia="it-IT"/>
        </w:rPr>
        <w:t>terzo livello di indagine</w:t>
      </w:r>
      <w:r w:rsidR="008F540A">
        <w:rPr>
          <w:rFonts w:eastAsia="Times New Roman" w:cs="Times New Roman"/>
          <w:bCs/>
          <w:color w:val="000000"/>
          <w:lang w:eastAsia="it-IT"/>
        </w:rPr>
        <w:t>: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 determinazione di alcuni indici di natura reddituale, patrimoniale e finanziaria relativi alle imprese operanti nel settore </w:t>
      </w:r>
      <w:r>
        <w:rPr>
          <w:rFonts w:eastAsia="Times New Roman" w:cs="Times New Roman"/>
          <w:bCs/>
          <w:color w:val="000000"/>
          <w:lang w:eastAsia="it-IT"/>
        </w:rPr>
        <w:t>industriale</w:t>
      </w:r>
      <w:r w:rsidRPr="009345D9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14:paraId="47AE7CE0" w14:textId="65D19136" w:rsidR="000903A8" w:rsidRDefault="000C7805" w:rsidP="00135C30">
      <w:p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493177">
        <w:rPr>
          <w:rFonts w:eastAsia="Times New Roman" w:cs="Times New Roman"/>
          <w:bCs/>
          <w:color w:val="000000"/>
          <w:szCs w:val="24"/>
          <w:lang w:eastAsia="it-IT"/>
        </w:rPr>
        <w:t xml:space="preserve">Definiti i valori medi </w:t>
      </w:r>
      <w:r w:rsidR="00AE39A0">
        <w:rPr>
          <w:rFonts w:eastAsia="Times New Roman" w:cs="Times New Roman"/>
          <w:bCs/>
          <w:color w:val="000000"/>
          <w:szCs w:val="24"/>
          <w:lang w:eastAsia="it-IT"/>
        </w:rPr>
        <w:t>sono stati riportati</w:t>
      </w:r>
      <w:r w:rsidRPr="00493177">
        <w:rPr>
          <w:rFonts w:eastAsia="Times New Roman" w:cs="Times New Roman"/>
          <w:bCs/>
          <w:color w:val="000000"/>
          <w:szCs w:val="24"/>
          <w:lang w:eastAsia="it-IT"/>
        </w:rPr>
        <w:t xml:space="preserve"> i dati di alcuni indici di natura reddituale e patrimoniale, determinati come di seguito specificato:</w:t>
      </w:r>
    </w:p>
    <w:p w14:paraId="0BF98395" w14:textId="77777777" w:rsidR="000C7805" w:rsidRPr="009345D9" w:rsidRDefault="000C7805" w:rsidP="000C7805">
      <w:pPr>
        <w:spacing w:before="120" w:after="0" w:line="300" w:lineRule="auto"/>
        <w:jc w:val="both"/>
        <w:rPr>
          <w:rFonts w:eastAsia="Times New Roman" w:cs="Times New Roman"/>
          <w:b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Indicatori finanziari</w:t>
      </w:r>
    </w:p>
    <w:p w14:paraId="7E39954F" w14:textId="77777777" w:rsidR="000C7805" w:rsidRPr="009345D9" w:rsidRDefault="000C7805" w:rsidP="00892313">
      <w:pPr>
        <w:pStyle w:val="Paragrafoelenco"/>
        <w:numPr>
          <w:ilvl w:val="0"/>
          <w:numId w:val="42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Indice di liquidità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Attivo circolante – Rimanenze/Debiti a breve</w:t>
      </w:r>
    </w:p>
    <w:p w14:paraId="02220205" w14:textId="77777777" w:rsidR="000C7805" w:rsidRPr="009345D9" w:rsidRDefault="000C7805" w:rsidP="00892313">
      <w:pPr>
        <w:pStyle w:val="Paragrafoelenco"/>
        <w:numPr>
          <w:ilvl w:val="0"/>
          <w:numId w:val="42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Indice di indebitamento a breve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Debiti a breve/Totale passivo</w:t>
      </w:r>
    </w:p>
    <w:p w14:paraId="6DB43947" w14:textId="77777777" w:rsidR="000C7805" w:rsidRPr="009345D9" w:rsidRDefault="000C7805" w:rsidP="00892313">
      <w:pPr>
        <w:pStyle w:val="Paragrafoelenco"/>
        <w:numPr>
          <w:ilvl w:val="0"/>
          <w:numId w:val="42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Indice di indebitamento a lungo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Debiti a oltre/Totale passivo</w:t>
      </w:r>
    </w:p>
    <w:p w14:paraId="3606533B" w14:textId="3B222137" w:rsidR="000C7805" w:rsidRPr="009345D9" w:rsidRDefault="00725C17" w:rsidP="00892313">
      <w:pPr>
        <w:pStyle w:val="Paragrafoelenco"/>
        <w:numPr>
          <w:ilvl w:val="0"/>
          <w:numId w:val="42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>
        <w:rPr>
          <w:rFonts w:eastAsia="Times New Roman" w:cs="Times New Roman"/>
          <w:b/>
          <w:bCs/>
          <w:color w:val="000000"/>
          <w:szCs w:val="24"/>
          <w:lang w:eastAsia="it-IT"/>
        </w:rPr>
        <w:t xml:space="preserve">Indice </w:t>
      </w:r>
      <w:r w:rsidR="000C7805"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di indebitamento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>: Tot</w:t>
      </w:r>
      <w:r w:rsidR="00281D49">
        <w:rPr>
          <w:rFonts w:eastAsia="Times New Roman" w:cs="Times New Roman"/>
          <w:bCs/>
          <w:color w:val="000000"/>
          <w:szCs w:val="24"/>
          <w:lang w:eastAsia="it-IT"/>
        </w:rPr>
        <w:t>ale</w:t>
      </w:r>
      <w:r w:rsidR="000C7805"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attivo/Patrimonio netto</w:t>
      </w:r>
    </w:p>
    <w:p w14:paraId="2BB3C159" w14:textId="77777777" w:rsidR="000C7805" w:rsidRPr="009345D9" w:rsidRDefault="000C7805" w:rsidP="000C7805">
      <w:pPr>
        <w:spacing w:before="120" w:after="0" w:line="300" w:lineRule="auto"/>
        <w:jc w:val="both"/>
        <w:rPr>
          <w:rFonts w:eastAsia="Times New Roman" w:cs="Times New Roman"/>
          <w:b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Indici della gestione corrente</w:t>
      </w:r>
    </w:p>
    <w:p w14:paraId="2A0D2EAD" w14:textId="77777777" w:rsidR="000C7805" w:rsidRPr="009345D9" w:rsidRDefault="000C7805" w:rsidP="00892313">
      <w:pPr>
        <w:pStyle w:val="Paragrafoelenco"/>
        <w:numPr>
          <w:ilvl w:val="0"/>
          <w:numId w:val="43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Rotazione del capitale investito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Ricavi delle vendite e delle prestazioni/Tot. attivo</w:t>
      </w:r>
    </w:p>
    <w:p w14:paraId="56C4774A" w14:textId="7092C6DE" w:rsidR="000C7805" w:rsidRPr="009345D9" w:rsidRDefault="000C7805" w:rsidP="00892313">
      <w:pPr>
        <w:pStyle w:val="Paragrafoelenco"/>
        <w:numPr>
          <w:ilvl w:val="0"/>
          <w:numId w:val="43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Durata media dei crediti al lor</w:t>
      </w:r>
      <w:r w:rsidR="001B6615">
        <w:rPr>
          <w:rFonts w:eastAsia="Times New Roman" w:cs="Times New Roman"/>
          <w:b/>
          <w:bCs/>
          <w:color w:val="000000"/>
          <w:szCs w:val="24"/>
          <w:lang w:eastAsia="it-IT"/>
        </w:rPr>
        <w:t>d</w:t>
      </w: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o IVA (gg)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(Crediti vs. clienti + crediti vs. clienti oltre)/(Ricavi delle vendite e delle prestazioni + altri ricavi)*365</w:t>
      </w:r>
    </w:p>
    <w:p w14:paraId="4A2146EC" w14:textId="49E43925" w:rsidR="000C7805" w:rsidRPr="009345D9" w:rsidRDefault="000C7805" w:rsidP="00892313">
      <w:pPr>
        <w:pStyle w:val="Paragrafoelenco"/>
        <w:numPr>
          <w:ilvl w:val="0"/>
          <w:numId w:val="43"/>
        </w:numPr>
        <w:spacing w:before="60" w:after="0" w:line="240" w:lineRule="auto"/>
        <w:contextualSpacing w:val="0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Durata media dei debiti al lor</w:t>
      </w:r>
      <w:r w:rsidR="001B6615">
        <w:rPr>
          <w:rFonts w:eastAsia="Times New Roman" w:cs="Times New Roman"/>
          <w:b/>
          <w:bCs/>
          <w:color w:val="000000"/>
          <w:szCs w:val="24"/>
          <w:lang w:eastAsia="it-IT"/>
        </w:rPr>
        <w:t>d</w:t>
      </w: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o IVA (gg)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(Fornitori entro + fornitori oltre)/(Acquisti di materie + servizi + godimento beni di terzi)</w:t>
      </w:r>
    </w:p>
    <w:p w14:paraId="79AA9AEE" w14:textId="681D5ACC" w:rsidR="000C7805" w:rsidRPr="009345D9" w:rsidRDefault="000C7805" w:rsidP="00160C6E">
      <w:pPr>
        <w:spacing w:before="120" w:after="0" w:line="300" w:lineRule="auto"/>
        <w:jc w:val="both"/>
        <w:rPr>
          <w:rFonts w:eastAsia="Times New Roman" w:cs="Times New Roman"/>
          <w:b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 xml:space="preserve">Indici di redditività </w:t>
      </w:r>
    </w:p>
    <w:p w14:paraId="21069C71" w14:textId="110EACB3" w:rsidR="000C7805" w:rsidRPr="009345D9" w:rsidRDefault="000C7805" w:rsidP="00892313">
      <w:pPr>
        <w:pStyle w:val="Paragrafoelenco"/>
        <w:numPr>
          <w:ilvl w:val="0"/>
          <w:numId w:val="44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ROA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(Risultato operativo /Tot</w:t>
      </w:r>
      <w:r w:rsidR="00281D49">
        <w:rPr>
          <w:rFonts w:eastAsia="Times New Roman" w:cs="Times New Roman"/>
          <w:bCs/>
          <w:color w:val="000000"/>
          <w:szCs w:val="24"/>
          <w:lang w:eastAsia="it-IT"/>
        </w:rPr>
        <w:t>ale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 xml:space="preserve"> attivo)*100</w:t>
      </w:r>
    </w:p>
    <w:p w14:paraId="15AC57D2" w14:textId="0008666A" w:rsidR="000C7805" w:rsidRPr="009345D9" w:rsidRDefault="000C7805" w:rsidP="00892313">
      <w:pPr>
        <w:pStyle w:val="Paragrafoelenco"/>
        <w:numPr>
          <w:ilvl w:val="0"/>
          <w:numId w:val="44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ROI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(Risultato operativo/(</w:t>
      </w:r>
      <w:r w:rsidR="00281D49">
        <w:rPr>
          <w:rFonts w:eastAsia="Times New Roman" w:cs="Times New Roman"/>
          <w:bCs/>
          <w:color w:val="000000"/>
          <w:szCs w:val="24"/>
          <w:lang w:eastAsia="it-IT"/>
        </w:rPr>
        <w:t>P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atrimonio netto + obbligazioni + obbligazioni oltre + debiti vs. banche + debiti vs. banche oltre + debiti vs. altri finanziatori + debiti vs. soci per finanziamenti + debiti vs. soci per finanziamenti oltre + debiti vs. altri finanziatori oltre))*100</w:t>
      </w:r>
    </w:p>
    <w:p w14:paraId="0FB1D2AF" w14:textId="77777777" w:rsidR="000C7805" w:rsidRPr="009345D9" w:rsidRDefault="000C7805" w:rsidP="00892313">
      <w:pPr>
        <w:pStyle w:val="Paragrafoelenco"/>
        <w:numPr>
          <w:ilvl w:val="0"/>
          <w:numId w:val="44"/>
        </w:numPr>
        <w:spacing w:after="0" w:line="300" w:lineRule="auto"/>
        <w:jc w:val="both"/>
        <w:rPr>
          <w:rFonts w:eastAsia="Times New Roman" w:cs="Times New Roman"/>
          <w:bCs/>
          <w:color w:val="000000"/>
          <w:szCs w:val="24"/>
          <w:lang w:eastAsia="it-IT"/>
        </w:rPr>
      </w:pPr>
      <w:r w:rsidRPr="009345D9">
        <w:rPr>
          <w:rFonts w:eastAsia="Times New Roman" w:cs="Times New Roman"/>
          <w:b/>
          <w:bCs/>
          <w:color w:val="000000"/>
          <w:szCs w:val="24"/>
          <w:lang w:eastAsia="it-IT"/>
        </w:rPr>
        <w:t>ROS</w:t>
      </w:r>
      <w:r w:rsidRPr="009345D9">
        <w:rPr>
          <w:rFonts w:eastAsia="Times New Roman" w:cs="Times New Roman"/>
          <w:bCs/>
          <w:color w:val="000000"/>
          <w:szCs w:val="24"/>
          <w:lang w:eastAsia="it-IT"/>
        </w:rPr>
        <w:t>: (Risultato operativo/(Ricavi della vendita e delle prestazioni + altri ricavi))*100</w:t>
      </w:r>
    </w:p>
    <w:p w14:paraId="2FD63463" w14:textId="67641424" w:rsidR="000C7805" w:rsidRPr="00160C6E" w:rsidRDefault="000C7805" w:rsidP="00FA0ABD">
      <w:pPr>
        <w:pStyle w:val="Paragrafoelenco"/>
        <w:numPr>
          <w:ilvl w:val="0"/>
          <w:numId w:val="44"/>
        </w:numPr>
        <w:spacing w:after="0" w:line="30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it-IT"/>
        </w:rPr>
      </w:pPr>
      <w:r w:rsidRPr="00160C6E">
        <w:rPr>
          <w:rFonts w:eastAsia="Times New Roman" w:cs="Times New Roman"/>
          <w:b/>
          <w:bCs/>
          <w:color w:val="000000"/>
          <w:szCs w:val="24"/>
          <w:lang w:eastAsia="it-IT"/>
        </w:rPr>
        <w:t>ROE</w:t>
      </w:r>
      <w:r w:rsidRPr="00160C6E">
        <w:rPr>
          <w:rFonts w:eastAsia="Times New Roman" w:cs="Times New Roman"/>
          <w:bCs/>
          <w:color w:val="000000"/>
          <w:szCs w:val="24"/>
          <w:lang w:eastAsia="it-IT"/>
        </w:rPr>
        <w:t>: (Utile/perdita di esercizio/Patrimonio netto)*100</w:t>
      </w:r>
    </w:p>
    <w:sectPr w:rsidR="000C7805" w:rsidRPr="00160C6E" w:rsidSect="000C480A">
      <w:headerReference w:type="default" r:id="rId16"/>
      <w:pgSz w:w="11906" w:h="16838"/>
      <w:pgMar w:top="187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26CF3" w14:textId="77777777" w:rsidR="000952E1" w:rsidRDefault="000952E1" w:rsidP="004B309A">
      <w:pPr>
        <w:spacing w:after="0" w:line="240" w:lineRule="auto"/>
      </w:pPr>
      <w:r>
        <w:separator/>
      </w:r>
    </w:p>
  </w:endnote>
  <w:endnote w:type="continuationSeparator" w:id="0">
    <w:p w14:paraId="7A9812D7" w14:textId="77777777" w:rsidR="000952E1" w:rsidRDefault="000952E1" w:rsidP="004B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93181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B40E07C" w14:textId="199D7C48" w:rsidR="00E90EAE" w:rsidRPr="00C02B98" w:rsidRDefault="00E90EAE" w:rsidP="002A5382">
        <w:pPr>
          <w:pStyle w:val="Pidipagina"/>
          <w:jc w:val="right"/>
          <w:rPr>
            <w:sz w:val="20"/>
          </w:rPr>
        </w:pPr>
        <w:r w:rsidRPr="00C02B98">
          <w:rPr>
            <w:sz w:val="20"/>
          </w:rPr>
          <w:fldChar w:fldCharType="begin"/>
        </w:r>
        <w:r w:rsidRPr="00C02B98">
          <w:rPr>
            <w:sz w:val="20"/>
          </w:rPr>
          <w:instrText>PAGE   \* MERGEFORMAT</w:instrText>
        </w:r>
        <w:r w:rsidRPr="00C02B98">
          <w:rPr>
            <w:sz w:val="20"/>
          </w:rPr>
          <w:fldChar w:fldCharType="separate"/>
        </w:r>
        <w:r w:rsidRPr="00E93288">
          <w:rPr>
            <w:noProof/>
          </w:rPr>
          <w:t>6</w:t>
        </w:r>
        <w:r w:rsidRPr="00C02B98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6138" w14:textId="77777777" w:rsidR="00E90EAE" w:rsidRDefault="00E90EA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5DA4547" wp14:editId="51A0B5D2">
          <wp:simplePos x="0" y="0"/>
          <wp:positionH relativeFrom="column">
            <wp:posOffset>4167845</wp:posOffset>
          </wp:positionH>
          <wp:positionV relativeFrom="paragraph">
            <wp:posOffset>-1945375</wp:posOffset>
          </wp:positionV>
          <wp:extent cx="2872800" cy="2721600"/>
          <wp:effectExtent l="0" t="0" r="3810" b="3175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800" cy="272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D8590" w14:textId="77777777" w:rsidR="000952E1" w:rsidRDefault="000952E1" w:rsidP="004B309A">
      <w:pPr>
        <w:spacing w:after="0" w:line="240" w:lineRule="auto"/>
      </w:pPr>
      <w:r>
        <w:separator/>
      </w:r>
    </w:p>
  </w:footnote>
  <w:footnote w:type="continuationSeparator" w:id="0">
    <w:p w14:paraId="5247A42D" w14:textId="77777777" w:rsidR="000952E1" w:rsidRDefault="000952E1" w:rsidP="004B309A">
      <w:pPr>
        <w:spacing w:after="0" w:line="240" w:lineRule="auto"/>
      </w:pPr>
      <w:r>
        <w:continuationSeparator/>
      </w:r>
    </w:p>
  </w:footnote>
  <w:footnote w:id="1">
    <w:p w14:paraId="57C50E87" w14:textId="042D7DDC" w:rsidR="00E90EAE" w:rsidRPr="00E90F3A" w:rsidRDefault="00E90EAE" w:rsidP="00C528DB">
      <w:pPr>
        <w:pStyle w:val="Testonotaapidipagina"/>
        <w:jc w:val="both"/>
        <w:rPr>
          <w:sz w:val="18"/>
          <w:szCs w:val="18"/>
        </w:rPr>
      </w:pPr>
      <w:r w:rsidRPr="00E90F3A">
        <w:rPr>
          <w:rStyle w:val="Rimandonotaapidipagina"/>
          <w:sz w:val="18"/>
          <w:szCs w:val="18"/>
        </w:rPr>
        <w:footnoteRef/>
      </w:r>
      <w:r w:rsidRPr="00E90F3A">
        <w:rPr>
          <w:sz w:val="18"/>
          <w:szCs w:val="18"/>
        </w:rPr>
        <w:t xml:space="preserve"> Osservatorio sui bilanci delle Srl. Trend 201</w:t>
      </w:r>
      <w:r>
        <w:rPr>
          <w:sz w:val="18"/>
          <w:szCs w:val="18"/>
        </w:rPr>
        <w:t>7-2019. FNC, Roma, 12</w:t>
      </w:r>
      <w:r w:rsidRPr="00E90F3A">
        <w:rPr>
          <w:sz w:val="18"/>
          <w:szCs w:val="18"/>
        </w:rPr>
        <w:t xml:space="preserve"> </w:t>
      </w:r>
      <w:r>
        <w:rPr>
          <w:sz w:val="18"/>
          <w:szCs w:val="18"/>
        </w:rPr>
        <w:t>gennaio</w:t>
      </w:r>
      <w:r w:rsidRPr="00E90F3A">
        <w:rPr>
          <w:sz w:val="18"/>
          <w:szCs w:val="18"/>
        </w:rPr>
        <w:t xml:space="preserve"> 20</w:t>
      </w:r>
      <w:r>
        <w:rPr>
          <w:sz w:val="18"/>
          <w:szCs w:val="18"/>
        </w:rPr>
        <w:t>21</w:t>
      </w:r>
      <w:r w:rsidRPr="00E90F3A">
        <w:rPr>
          <w:sz w:val="18"/>
          <w:szCs w:val="18"/>
        </w:rPr>
        <w:t>.</w:t>
      </w:r>
    </w:p>
  </w:footnote>
  <w:footnote w:id="2">
    <w:p w14:paraId="1C01B824" w14:textId="1296E5A7" w:rsidR="00E90EAE" w:rsidRDefault="00E90EA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</w:rPr>
        <w:t>Dati estratti il 7</w:t>
      </w:r>
      <w:r w:rsidRPr="00E85205">
        <w:rPr>
          <w:sz w:val="18"/>
        </w:rPr>
        <w:t xml:space="preserve"> </w:t>
      </w:r>
      <w:r>
        <w:rPr>
          <w:sz w:val="18"/>
        </w:rPr>
        <w:t>Gennaio</w:t>
      </w:r>
      <w:r w:rsidRPr="00E85205">
        <w:rPr>
          <w:sz w:val="18"/>
        </w:rPr>
        <w:t xml:space="preserve"> 20</w:t>
      </w:r>
      <w:r>
        <w:rPr>
          <w:sz w:val="18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EB51" w14:textId="77777777" w:rsidR="00E90EAE" w:rsidRPr="009A1190" w:rsidRDefault="00E90EAE" w:rsidP="002A5382">
    <w:pPr>
      <w:pStyle w:val="Intestazione"/>
      <w:rPr>
        <w:sz w:val="8"/>
      </w:rPr>
    </w:pPr>
    <w:r w:rsidRPr="00FA3980">
      <w:rPr>
        <w:noProof/>
        <w:sz w:val="8"/>
        <w:lang w:eastAsia="it-IT"/>
      </w:rPr>
      <w:drawing>
        <wp:anchor distT="0" distB="0" distL="114300" distR="114300" simplePos="0" relativeHeight="251664384" behindDoc="0" locked="0" layoutInCell="1" allowOverlap="1" wp14:anchorId="27C507DE" wp14:editId="4CCB9C99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1835785" cy="495300"/>
          <wp:effectExtent l="0" t="0" r="0" b="0"/>
          <wp:wrapNone/>
          <wp:docPr id="8" name="Picture 5" descr="_assets/fnc-doc-assets-assets/logo-or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_assets/fnc-doc-assets-assets/logo-ord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3980">
      <w:rPr>
        <w:noProof/>
        <w:sz w:val="8"/>
        <w:lang w:eastAsia="it-IT"/>
      </w:rPr>
      <w:drawing>
        <wp:anchor distT="0" distB="0" distL="114300" distR="114300" simplePos="0" relativeHeight="251663360" behindDoc="0" locked="0" layoutInCell="1" allowOverlap="1" wp14:anchorId="3A438854" wp14:editId="4BD1C3D3">
          <wp:simplePos x="0" y="0"/>
          <wp:positionH relativeFrom="column">
            <wp:posOffset>4498975</wp:posOffset>
          </wp:positionH>
          <wp:positionV relativeFrom="paragraph">
            <wp:posOffset>148903</wp:posOffset>
          </wp:positionV>
          <wp:extent cx="1115695" cy="423545"/>
          <wp:effectExtent l="0" t="0" r="8255" b="0"/>
          <wp:wrapNone/>
          <wp:docPr id="9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268B7" w14:textId="22BE91CA" w:rsidR="00E90EAE" w:rsidRDefault="00E90EAE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952502A" wp14:editId="61FC2FB1">
              <wp:simplePos x="0" y="0"/>
              <wp:positionH relativeFrom="column">
                <wp:posOffset>147320</wp:posOffset>
              </wp:positionH>
              <wp:positionV relativeFrom="paragraph">
                <wp:posOffset>911860</wp:posOffset>
              </wp:positionV>
              <wp:extent cx="5525770" cy="720725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25770" cy="720725"/>
                        <a:chOff x="0" y="0"/>
                        <a:chExt cx="5525770" cy="720725"/>
                      </a:xfrm>
                    </wpg:grpSpPr>
                    <pic:pic xmlns:pic="http://schemas.openxmlformats.org/drawingml/2006/picture">
                      <pic:nvPicPr>
                        <pic:cNvPr id="4" name="Picture 4" descr="_assets/fnc-doc-assets-assets/logo-fnc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6225" y="85725"/>
                          <a:ext cx="143954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 descr="C:\Users\delia\AppData\Local\Temp\Temp1_logo-consiglio.png.zip\logo-consigli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583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6EDAB" id="Gruppo 6" o:spid="_x0000_s1026" style="position:absolute;margin-left:11.6pt;margin-top:71.8pt;width:435.1pt;height:56.75pt;z-index:251670528" coordsize="55257,7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_assets/fnc-doc-assets-assets/logo-fnc.png" style="position:absolute;left:40862;top:857;width:14395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">
                <v:imagedata r:id="rId3" o:title="logo-fnc"/>
              </v:shape>
              <v:shape id="Immagine 5" o:spid="_x0000_s1028" type="#_x0000_t75" style="position:absolute;width:21958;height:7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">
                <v:imagedata r:id="rId4" o:title="logo-consigli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6ED5" w14:textId="77777777" w:rsidR="00E90EAE" w:rsidRDefault="00E90EAE">
    <w:pPr>
      <w:pStyle w:val="Intestazione"/>
    </w:pPr>
    <w:r w:rsidRPr="007D7EE7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D6C0B0A" wp14:editId="4D8CE813">
          <wp:simplePos x="0" y="0"/>
          <wp:positionH relativeFrom="column">
            <wp:posOffset>4498975</wp:posOffset>
          </wp:positionH>
          <wp:positionV relativeFrom="paragraph">
            <wp:posOffset>28575</wp:posOffset>
          </wp:positionV>
          <wp:extent cx="1008000" cy="382662"/>
          <wp:effectExtent l="0" t="0" r="1905" b="0"/>
          <wp:wrapNone/>
          <wp:docPr id="25" name="Picture 4" descr="_assets/fnc-doc-assets-assets/logo-f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_assets/fnc-doc-assets-assets/logo-f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38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D9A">
      <w:rPr>
        <w:noProof/>
        <w:lang w:eastAsia="it-IT"/>
      </w:rPr>
      <w:drawing>
        <wp:inline distT="0" distB="0" distL="0" distR="0" wp14:anchorId="1EB94298" wp14:editId="34A23774">
          <wp:extent cx="1620000" cy="531653"/>
          <wp:effectExtent l="0" t="0" r="0" b="1905"/>
          <wp:docPr id="2" name="Immagine 2" descr="C:\Users\delia\AppData\Local\Temp\Temp1_logo-consiglio.png.zip\logo-consig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ia\AppData\Local\Temp\Temp1_logo-consiglio.png.zip\logo-consigli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53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315C"/>
    <w:multiLevelType w:val="hybridMultilevel"/>
    <w:tmpl w:val="B0A88C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B0C"/>
    <w:multiLevelType w:val="hybridMultilevel"/>
    <w:tmpl w:val="89F29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80FF5"/>
    <w:multiLevelType w:val="hybridMultilevel"/>
    <w:tmpl w:val="0CA21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00BE2"/>
    <w:multiLevelType w:val="hybridMultilevel"/>
    <w:tmpl w:val="3A0AF2CE"/>
    <w:lvl w:ilvl="0" w:tplc="550281E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344"/>
    <w:multiLevelType w:val="hybridMultilevel"/>
    <w:tmpl w:val="6590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993"/>
    <w:multiLevelType w:val="hybridMultilevel"/>
    <w:tmpl w:val="48BCC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D45"/>
    <w:multiLevelType w:val="hybridMultilevel"/>
    <w:tmpl w:val="67AA81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E65F9"/>
    <w:multiLevelType w:val="hybridMultilevel"/>
    <w:tmpl w:val="430CAA54"/>
    <w:lvl w:ilvl="0" w:tplc="1A162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40C05"/>
    <w:multiLevelType w:val="hybridMultilevel"/>
    <w:tmpl w:val="869A44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E6DE1"/>
    <w:multiLevelType w:val="hybridMultilevel"/>
    <w:tmpl w:val="D3EEF268"/>
    <w:lvl w:ilvl="0" w:tplc="1A162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43238"/>
    <w:multiLevelType w:val="hybridMultilevel"/>
    <w:tmpl w:val="A5924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06062"/>
    <w:multiLevelType w:val="hybridMultilevel"/>
    <w:tmpl w:val="E5020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6E6D"/>
    <w:multiLevelType w:val="hybridMultilevel"/>
    <w:tmpl w:val="374A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6266F"/>
    <w:multiLevelType w:val="hybridMultilevel"/>
    <w:tmpl w:val="5B08BDBE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47F1BD4"/>
    <w:multiLevelType w:val="hybridMultilevel"/>
    <w:tmpl w:val="D47AD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0FF5"/>
    <w:multiLevelType w:val="hybridMultilevel"/>
    <w:tmpl w:val="503EDB1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03916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A2C57"/>
    <w:multiLevelType w:val="hybridMultilevel"/>
    <w:tmpl w:val="79206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371E1"/>
    <w:multiLevelType w:val="multilevel"/>
    <w:tmpl w:val="4C76E39A"/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3" w:hanging="1800"/>
      </w:pPr>
      <w:rPr>
        <w:rFonts w:hint="default"/>
      </w:rPr>
    </w:lvl>
  </w:abstractNum>
  <w:abstractNum w:abstractNumId="19" w15:restartNumberingAfterBreak="0">
    <w:nsid w:val="3BA90EB5"/>
    <w:multiLevelType w:val="hybridMultilevel"/>
    <w:tmpl w:val="E502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35FC5"/>
    <w:multiLevelType w:val="multilevel"/>
    <w:tmpl w:val="CA76A9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FE20F64"/>
    <w:multiLevelType w:val="hybridMultilevel"/>
    <w:tmpl w:val="55DA0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52C94"/>
    <w:multiLevelType w:val="hybridMultilevel"/>
    <w:tmpl w:val="D8920C4C"/>
    <w:lvl w:ilvl="0" w:tplc="0D166C5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C801E1"/>
    <w:multiLevelType w:val="hybridMultilevel"/>
    <w:tmpl w:val="904AE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B7A"/>
    <w:multiLevelType w:val="hybridMultilevel"/>
    <w:tmpl w:val="586C9D70"/>
    <w:lvl w:ilvl="0" w:tplc="E70A19C0">
      <w:start w:val="2"/>
      <w:numFmt w:val="bullet"/>
      <w:lvlText w:val="-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5" w15:restartNumberingAfterBreak="0">
    <w:nsid w:val="4E65333D"/>
    <w:multiLevelType w:val="hybridMultilevel"/>
    <w:tmpl w:val="DF2A0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67E3D"/>
    <w:multiLevelType w:val="hybridMultilevel"/>
    <w:tmpl w:val="64BC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0A16"/>
    <w:multiLevelType w:val="hybridMultilevel"/>
    <w:tmpl w:val="1A4C53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84657"/>
    <w:multiLevelType w:val="hybridMultilevel"/>
    <w:tmpl w:val="5A90D3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177C6"/>
    <w:multiLevelType w:val="hybridMultilevel"/>
    <w:tmpl w:val="5C98C1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E4E17"/>
    <w:multiLevelType w:val="hybridMultilevel"/>
    <w:tmpl w:val="58BED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A083E"/>
    <w:multiLevelType w:val="hybridMultilevel"/>
    <w:tmpl w:val="E50201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C4A38"/>
    <w:multiLevelType w:val="hybridMultilevel"/>
    <w:tmpl w:val="0EFE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704E8"/>
    <w:multiLevelType w:val="hybridMultilevel"/>
    <w:tmpl w:val="12D0F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24251"/>
    <w:multiLevelType w:val="hybridMultilevel"/>
    <w:tmpl w:val="A0649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B2FB7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53C6A"/>
    <w:multiLevelType w:val="hybridMultilevel"/>
    <w:tmpl w:val="EC9A7D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A59C2"/>
    <w:multiLevelType w:val="hybridMultilevel"/>
    <w:tmpl w:val="4412B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7621E"/>
    <w:multiLevelType w:val="hybridMultilevel"/>
    <w:tmpl w:val="D5EEBF40"/>
    <w:lvl w:ilvl="0" w:tplc="F2A43D90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8D46B3"/>
    <w:multiLevelType w:val="hybridMultilevel"/>
    <w:tmpl w:val="EA7E95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211B0"/>
    <w:multiLevelType w:val="hybridMultilevel"/>
    <w:tmpl w:val="A300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815C7"/>
    <w:multiLevelType w:val="hybridMultilevel"/>
    <w:tmpl w:val="744635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54FE5"/>
    <w:multiLevelType w:val="hybridMultilevel"/>
    <w:tmpl w:val="7F58C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B3DC1"/>
    <w:multiLevelType w:val="hybridMultilevel"/>
    <w:tmpl w:val="C22EF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D763F"/>
    <w:multiLevelType w:val="hybridMultilevel"/>
    <w:tmpl w:val="2BE45390"/>
    <w:lvl w:ilvl="0" w:tplc="1EC6E0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3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35"/>
  </w:num>
  <w:num w:numId="9">
    <w:abstractNumId w:val="19"/>
  </w:num>
  <w:num w:numId="10">
    <w:abstractNumId w:val="4"/>
  </w:num>
  <w:num w:numId="11">
    <w:abstractNumId w:val="16"/>
  </w:num>
  <w:num w:numId="12">
    <w:abstractNumId w:val="37"/>
  </w:num>
  <w:num w:numId="13">
    <w:abstractNumId w:val="22"/>
  </w:num>
  <w:num w:numId="14">
    <w:abstractNumId w:val="34"/>
  </w:num>
  <w:num w:numId="15">
    <w:abstractNumId w:val="12"/>
  </w:num>
  <w:num w:numId="16">
    <w:abstractNumId w:val="44"/>
  </w:num>
  <w:num w:numId="17">
    <w:abstractNumId w:val="42"/>
  </w:num>
  <w:num w:numId="18">
    <w:abstractNumId w:val="1"/>
  </w:num>
  <w:num w:numId="19">
    <w:abstractNumId w:val="29"/>
  </w:num>
  <w:num w:numId="20">
    <w:abstractNumId w:val="14"/>
  </w:num>
  <w:num w:numId="21">
    <w:abstractNumId w:val="27"/>
  </w:num>
  <w:num w:numId="22">
    <w:abstractNumId w:val="0"/>
  </w:num>
  <w:num w:numId="23">
    <w:abstractNumId w:val="6"/>
  </w:num>
  <w:num w:numId="24">
    <w:abstractNumId w:val="41"/>
  </w:num>
  <w:num w:numId="25">
    <w:abstractNumId w:val="36"/>
  </w:num>
  <w:num w:numId="26">
    <w:abstractNumId w:val="28"/>
  </w:num>
  <w:num w:numId="27">
    <w:abstractNumId w:val="2"/>
  </w:num>
  <w:num w:numId="28">
    <w:abstractNumId w:val="40"/>
  </w:num>
  <w:num w:numId="29">
    <w:abstractNumId w:val="15"/>
  </w:num>
  <w:num w:numId="30">
    <w:abstractNumId w:val="10"/>
  </w:num>
  <w:num w:numId="31">
    <w:abstractNumId w:val="8"/>
  </w:num>
  <w:num w:numId="32">
    <w:abstractNumId w:val="33"/>
  </w:num>
  <w:num w:numId="33">
    <w:abstractNumId w:val="31"/>
  </w:num>
  <w:num w:numId="34">
    <w:abstractNumId w:val="20"/>
  </w:num>
  <w:num w:numId="35">
    <w:abstractNumId w:val="24"/>
  </w:num>
  <w:num w:numId="36">
    <w:abstractNumId w:val="11"/>
  </w:num>
  <w:num w:numId="37">
    <w:abstractNumId w:val="18"/>
  </w:num>
  <w:num w:numId="38">
    <w:abstractNumId w:val="38"/>
  </w:num>
  <w:num w:numId="39">
    <w:abstractNumId w:val="26"/>
  </w:num>
  <w:num w:numId="40">
    <w:abstractNumId w:val="43"/>
  </w:num>
  <w:num w:numId="41">
    <w:abstractNumId w:val="17"/>
  </w:num>
  <w:num w:numId="42">
    <w:abstractNumId w:val="25"/>
  </w:num>
  <w:num w:numId="43">
    <w:abstractNumId w:val="21"/>
  </w:num>
  <w:num w:numId="44">
    <w:abstractNumId w:val="3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E"/>
    <w:rsid w:val="000006FC"/>
    <w:rsid w:val="000011E4"/>
    <w:rsid w:val="000019D6"/>
    <w:rsid w:val="00011118"/>
    <w:rsid w:val="00011EAC"/>
    <w:rsid w:val="000136DC"/>
    <w:rsid w:val="00013DB4"/>
    <w:rsid w:val="00016CDD"/>
    <w:rsid w:val="00020B6B"/>
    <w:rsid w:val="00021B7F"/>
    <w:rsid w:val="00022462"/>
    <w:rsid w:val="00024FD8"/>
    <w:rsid w:val="00027B21"/>
    <w:rsid w:val="0003313D"/>
    <w:rsid w:val="000345CB"/>
    <w:rsid w:val="00037033"/>
    <w:rsid w:val="00041780"/>
    <w:rsid w:val="00042A98"/>
    <w:rsid w:val="0004609C"/>
    <w:rsid w:val="000514DC"/>
    <w:rsid w:val="000533DB"/>
    <w:rsid w:val="00055107"/>
    <w:rsid w:val="000551AF"/>
    <w:rsid w:val="000553CA"/>
    <w:rsid w:val="0005567D"/>
    <w:rsid w:val="00055BA6"/>
    <w:rsid w:val="00056611"/>
    <w:rsid w:val="0005671A"/>
    <w:rsid w:val="00061926"/>
    <w:rsid w:val="0006249A"/>
    <w:rsid w:val="00065836"/>
    <w:rsid w:val="00071F09"/>
    <w:rsid w:val="0007202E"/>
    <w:rsid w:val="00072251"/>
    <w:rsid w:val="0007422F"/>
    <w:rsid w:val="00074800"/>
    <w:rsid w:val="00077302"/>
    <w:rsid w:val="000777D7"/>
    <w:rsid w:val="00084FE1"/>
    <w:rsid w:val="000875D9"/>
    <w:rsid w:val="000903A8"/>
    <w:rsid w:val="0009059D"/>
    <w:rsid w:val="000932AA"/>
    <w:rsid w:val="00093A45"/>
    <w:rsid w:val="00094F7A"/>
    <w:rsid w:val="000952E1"/>
    <w:rsid w:val="000961DD"/>
    <w:rsid w:val="00096F0E"/>
    <w:rsid w:val="000A235A"/>
    <w:rsid w:val="000A3440"/>
    <w:rsid w:val="000A361E"/>
    <w:rsid w:val="000A5B49"/>
    <w:rsid w:val="000A6C85"/>
    <w:rsid w:val="000B0705"/>
    <w:rsid w:val="000B3D34"/>
    <w:rsid w:val="000B3EE7"/>
    <w:rsid w:val="000B4892"/>
    <w:rsid w:val="000B5DF8"/>
    <w:rsid w:val="000B7F36"/>
    <w:rsid w:val="000C480A"/>
    <w:rsid w:val="000C7805"/>
    <w:rsid w:val="000C7D46"/>
    <w:rsid w:val="000D03C9"/>
    <w:rsid w:val="000D1530"/>
    <w:rsid w:val="000E2179"/>
    <w:rsid w:val="000E5373"/>
    <w:rsid w:val="000F09BE"/>
    <w:rsid w:val="000F18A6"/>
    <w:rsid w:val="000F2A8E"/>
    <w:rsid w:val="000F2C94"/>
    <w:rsid w:val="000F46E2"/>
    <w:rsid w:val="000F6D73"/>
    <w:rsid w:val="00101778"/>
    <w:rsid w:val="00102663"/>
    <w:rsid w:val="00105B07"/>
    <w:rsid w:val="00106848"/>
    <w:rsid w:val="0010736F"/>
    <w:rsid w:val="001114D0"/>
    <w:rsid w:val="001128F8"/>
    <w:rsid w:val="00120D7E"/>
    <w:rsid w:val="00122DF1"/>
    <w:rsid w:val="00124857"/>
    <w:rsid w:val="001255B0"/>
    <w:rsid w:val="001273B3"/>
    <w:rsid w:val="00130998"/>
    <w:rsid w:val="00130BA0"/>
    <w:rsid w:val="00132221"/>
    <w:rsid w:val="00135C30"/>
    <w:rsid w:val="001408D5"/>
    <w:rsid w:val="00141026"/>
    <w:rsid w:val="00142426"/>
    <w:rsid w:val="00142B81"/>
    <w:rsid w:val="00145484"/>
    <w:rsid w:val="00145BDC"/>
    <w:rsid w:val="00146606"/>
    <w:rsid w:val="00146EBB"/>
    <w:rsid w:val="0014779F"/>
    <w:rsid w:val="00151B73"/>
    <w:rsid w:val="001551A5"/>
    <w:rsid w:val="00157D58"/>
    <w:rsid w:val="00160ACC"/>
    <w:rsid w:val="00160C6E"/>
    <w:rsid w:val="001610EE"/>
    <w:rsid w:val="0016373F"/>
    <w:rsid w:val="001677BF"/>
    <w:rsid w:val="00176D5F"/>
    <w:rsid w:val="00180E9D"/>
    <w:rsid w:val="0018101F"/>
    <w:rsid w:val="00182A28"/>
    <w:rsid w:val="001834F8"/>
    <w:rsid w:val="0018747D"/>
    <w:rsid w:val="0018768E"/>
    <w:rsid w:val="001878EA"/>
    <w:rsid w:val="00191B81"/>
    <w:rsid w:val="001922AA"/>
    <w:rsid w:val="001A2630"/>
    <w:rsid w:val="001A4212"/>
    <w:rsid w:val="001A5AF0"/>
    <w:rsid w:val="001A5DB7"/>
    <w:rsid w:val="001A7613"/>
    <w:rsid w:val="001A7C5E"/>
    <w:rsid w:val="001A7E8A"/>
    <w:rsid w:val="001B3DAE"/>
    <w:rsid w:val="001B540F"/>
    <w:rsid w:val="001B5F49"/>
    <w:rsid w:val="001B6615"/>
    <w:rsid w:val="001B6DCD"/>
    <w:rsid w:val="001C273F"/>
    <w:rsid w:val="001C3063"/>
    <w:rsid w:val="001C30FD"/>
    <w:rsid w:val="001C31C2"/>
    <w:rsid w:val="001C400B"/>
    <w:rsid w:val="001C7A4D"/>
    <w:rsid w:val="001D2A9C"/>
    <w:rsid w:val="001D70F8"/>
    <w:rsid w:val="001D717D"/>
    <w:rsid w:val="001D76CF"/>
    <w:rsid w:val="001E05C8"/>
    <w:rsid w:val="001E3428"/>
    <w:rsid w:val="001E5403"/>
    <w:rsid w:val="001F21A6"/>
    <w:rsid w:val="001F273E"/>
    <w:rsid w:val="00205F67"/>
    <w:rsid w:val="00211846"/>
    <w:rsid w:val="00213FCD"/>
    <w:rsid w:val="00220722"/>
    <w:rsid w:val="0022463F"/>
    <w:rsid w:val="00231112"/>
    <w:rsid w:val="002334CC"/>
    <w:rsid w:val="00234C28"/>
    <w:rsid w:val="002420EC"/>
    <w:rsid w:val="002428E9"/>
    <w:rsid w:val="00244A42"/>
    <w:rsid w:val="00250D7A"/>
    <w:rsid w:val="0025332D"/>
    <w:rsid w:val="00262773"/>
    <w:rsid w:val="00262FB5"/>
    <w:rsid w:val="002661ED"/>
    <w:rsid w:val="00270111"/>
    <w:rsid w:val="0027453E"/>
    <w:rsid w:val="0027454A"/>
    <w:rsid w:val="00276B24"/>
    <w:rsid w:val="00277397"/>
    <w:rsid w:val="00281739"/>
    <w:rsid w:val="00281D49"/>
    <w:rsid w:val="002824D9"/>
    <w:rsid w:val="0028445D"/>
    <w:rsid w:val="00284536"/>
    <w:rsid w:val="00287DF6"/>
    <w:rsid w:val="00293443"/>
    <w:rsid w:val="002A06B1"/>
    <w:rsid w:val="002A2453"/>
    <w:rsid w:val="002A2C08"/>
    <w:rsid w:val="002A5382"/>
    <w:rsid w:val="002A5872"/>
    <w:rsid w:val="002B0772"/>
    <w:rsid w:val="002B10E0"/>
    <w:rsid w:val="002B16C2"/>
    <w:rsid w:val="002B2FA7"/>
    <w:rsid w:val="002C2263"/>
    <w:rsid w:val="002C3C94"/>
    <w:rsid w:val="002C44BC"/>
    <w:rsid w:val="002D0A05"/>
    <w:rsid w:val="002D23E3"/>
    <w:rsid w:val="002E36FD"/>
    <w:rsid w:val="002E3C9E"/>
    <w:rsid w:val="002F283E"/>
    <w:rsid w:val="002F29C8"/>
    <w:rsid w:val="00300222"/>
    <w:rsid w:val="00301B5E"/>
    <w:rsid w:val="00304BD8"/>
    <w:rsid w:val="00305F3A"/>
    <w:rsid w:val="00306D69"/>
    <w:rsid w:val="00310814"/>
    <w:rsid w:val="00310E6F"/>
    <w:rsid w:val="0031101B"/>
    <w:rsid w:val="00312564"/>
    <w:rsid w:val="00312FEA"/>
    <w:rsid w:val="003161BA"/>
    <w:rsid w:val="00317B35"/>
    <w:rsid w:val="00320A73"/>
    <w:rsid w:val="003239BF"/>
    <w:rsid w:val="00325C42"/>
    <w:rsid w:val="0033279B"/>
    <w:rsid w:val="00335E32"/>
    <w:rsid w:val="00336019"/>
    <w:rsid w:val="0034415C"/>
    <w:rsid w:val="00344D5F"/>
    <w:rsid w:val="00344E98"/>
    <w:rsid w:val="00345A4D"/>
    <w:rsid w:val="00347DF8"/>
    <w:rsid w:val="00351D7B"/>
    <w:rsid w:val="00351EE8"/>
    <w:rsid w:val="00352CE2"/>
    <w:rsid w:val="00354D8E"/>
    <w:rsid w:val="0035528E"/>
    <w:rsid w:val="00355BBB"/>
    <w:rsid w:val="003571F8"/>
    <w:rsid w:val="00357A10"/>
    <w:rsid w:val="00360490"/>
    <w:rsid w:val="00361432"/>
    <w:rsid w:val="0036245D"/>
    <w:rsid w:val="00365B3D"/>
    <w:rsid w:val="00374A9D"/>
    <w:rsid w:val="00375592"/>
    <w:rsid w:val="00380AF7"/>
    <w:rsid w:val="00381F4A"/>
    <w:rsid w:val="00384065"/>
    <w:rsid w:val="003853F2"/>
    <w:rsid w:val="00390280"/>
    <w:rsid w:val="00391619"/>
    <w:rsid w:val="003948EB"/>
    <w:rsid w:val="003A0BF5"/>
    <w:rsid w:val="003A31E2"/>
    <w:rsid w:val="003A3F7D"/>
    <w:rsid w:val="003A6FCE"/>
    <w:rsid w:val="003B0C92"/>
    <w:rsid w:val="003B0D3B"/>
    <w:rsid w:val="003B24BD"/>
    <w:rsid w:val="003B322D"/>
    <w:rsid w:val="003B5281"/>
    <w:rsid w:val="003B72F9"/>
    <w:rsid w:val="003C0D62"/>
    <w:rsid w:val="003C1E98"/>
    <w:rsid w:val="003C3743"/>
    <w:rsid w:val="003C4001"/>
    <w:rsid w:val="003C4AF6"/>
    <w:rsid w:val="003C547A"/>
    <w:rsid w:val="003D3B44"/>
    <w:rsid w:val="003D6187"/>
    <w:rsid w:val="003D6DE6"/>
    <w:rsid w:val="003E5A84"/>
    <w:rsid w:val="003F02E1"/>
    <w:rsid w:val="003F303F"/>
    <w:rsid w:val="003F48DF"/>
    <w:rsid w:val="00400C24"/>
    <w:rsid w:val="00401DF7"/>
    <w:rsid w:val="00404A3A"/>
    <w:rsid w:val="00407A37"/>
    <w:rsid w:val="0041086C"/>
    <w:rsid w:val="00410E05"/>
    <w:rsid w:val="00411AB1"/>
    <w:rsid w:val="00415D2C"/>
    <w:rsid w:val="00420730"/>
    <w:rsid w:val="00421492"/>
    <w:rsid w:val="00423127"/>
    <w:rsid w:val="00424736"/>
    <w:rsid w:val="00425E37"/>
    <w:rsid w:val="004268A3"/>
    <w:rsid w:val="004327DA"/>
    <w:rsid w:val="0043416D"/>
    <w:rsid w:val="00435CCD"/>
    <w:rsid w:val="00435D05"/>
    <w:rsid w:val="0043672F"/>
    <w:rsid w:val="0044377D"/>
    <w:rsid w:val="00446012"/>
    <w:rsid w:val="00452A76"/>
    <w:rsid w:val="00453A31"/>
    <w:rsid w:val="00454296"/>
    <w:rsid w:val="00455098"/>
    <w:rsid w:val="0045632A"/>
    <w:rsid w:val="00460E2E"/>
    <w:rsid w:val="00462475"/>
    <w:rsid w:val="0046565E"/>
    <w:rsid w:val="004702B0"/>
    <w:rsid w:val="00471B59"/>
    <w:rsid w:val="00472DBF"/>
    <w:rsid w:val="00472E60"/>
    <w:rsid w:val="00475F28"/>
    <w:rsid w:val="00484096"/>
    <w:rsid w:val="00485DAC"/>
    <w:rsid w:val="0048699F"/>
    <w:rsid w:val="00486F3C"/>
    <w:rsid w:val="00490029"/>
    <w:rsid w:val="00490BC5"/>
    <w:rsid w:val="00493177"/>
    <w:rsid w:val="004975E4"/>
    <w:rsid w:val="004A010E"/>
    <w:rsid w:val="004A2C91"/>
    <w:rsid w:val="004A34F1"/>
    <w:rsid w:val="004A3FBD"/>
    <w:rsid w:val="004A5024"/>
    <w:rsid w:val="004B0FFB"/>
    <w:rsid w:val="004B22F0"/>
    <w:rsid w:val="004B309A"/>
    <w:rsid w:val="004B5E27"/>
    <w:rsid w:val="004C3F71"/>
    <w:rsid w:val="004C46B3"/>
    <w:rsid w:val="004D4B15"/>
    <w:rsid w:val="004D60FE"/>
    <w:rsid w:val="004D6B32"/>
    <w:rsid w:val="004E0984"/>
    <w:rsid w:val="004E0FFB"/>
    <w:rsid w:val="004E3114"/>
    <w:rsid w:val="004E37BD"/>
    <w:rsid w:val="004E6A1C"/>
    <w:rsid w:val="004F21CB"/>
    <w:rsid w:val="004F39EA"/>
    <w:rsid w:val="004F5313"/>
    <w:rsid w:val="004F77B6"/>
    <w:rsid w:val="00501A8C"/>
    <w:rsid w:val="00501EE4"/>
    <w:rsid w:val="0050258D"/>
    <w:rsid w:val="0050298E"/>
    <w:rsid w:val="005049CE"/>
    <w:rsid w:val="00504BAC"/>
    <w:rsid w:val="005053F5"/>
    <w:rsid w:val="00505783"/>
    <w:rsid w:val="00507B56"/>
    <w:rsid w:val="00510870"/>
    <w:rsid w:val="00511EF3"/>
    <w:rsid w:val="0052042D"/>
    <w:rsid w:val="0052200A"/>
    <w:rsid w:val="005226C3"/>
    <w:rsid w:val="0052295E"/>
    <w:rsid w:val="005356D4"/>
    <w:rsid w:val="00535C1E"/>
    <w:rsid w:val="005507A5"/>
    <w:rsid w:val="0055297D"/>
    <w:rsid w:val="00552DB7"/>
    <w:rsid w:val="005537CD"/>
    <w:rsid w:val="00556E6D"/>
    <w:rsid w:val="005573EF"/>
    <w:rsid w:val="00557422"/>
    <w:rsid w:val="0055768E"/>
    <w:rsid w:val="0056167A"/>
    <w:rsid w:val="00561883"/>
    <w:rsid w:val="005630EA"/>
    <w:rsid w:val="00563AA3"/>
    <w:rsid w:val="00565C5F"/>
    <w:rsid w:val="00572022"/>
    <w:rsid w:val="0057674A"/>
    <w:rsid w:val="0057758C"/>
    <w:rsid w:val="00581DCE"/>
    <w:rsid w:val="00584358"/>
    <w:rsid w:val="00585BD6"/>
    <w:rsid w:val="0058678A"/>
    <w:rsid w:val="00591C65"/>
    <w:rsid w:val="00596095"/>
    <w:rsid w:val="005A40FA"/>
    <w:rsid w:val="005A628E"/>
    <w:rsid w:val="005A7B00"/>
    <w:rsid w:val="005B08AF"/>
    <w:rsid w:val="005B0F92"/>
    <w:rsid w:val="005B142D"/>
    <w:rsid w:val="005B223F"/>
    <w:rsid w:val="005C062E"/>
    <w:rsid w:val="005C1EF0"/>
    <w:rsid w:val="005C2CBD"/>
    <w:rsid w:val="005C40C8"/>
    <w:rsid w:val="005C53A5"/>
    <w:rsid w:val="005C585C"/>
    <w:rsid w:val="005D0DD6"/>
    <w:rsid w:val="005D12CB"/>
    <w:rsid w:val="005D7093"/>
    <w:rsid w:val="005E00A4"/>
    <w:rsid w:val="005E3859"/>
    <w:rsid w:val="005E5551"/>
    <w:rsid w:val="005E72BD"/>
    <w:rsid w:val="005F564F"/>
    <w:rsid w:val="006024FF"/>
    <w:rsid w:val="006037E2"/>
    <w:rsid w:val="0060469F"/>
    <w:rsid w:val="0060751D"/>
    <w:rsid w:val="00613B59"/>
    <w:rsid w:val="00621510"/>
    <w:rsid w:val="006239FE"/>
    <w:rsid w:val="00625E86"/>
    <w:rsid w:val="0063187D"/>
    <w:rsid w:val="00641893"/>
    <w:rsid w:val="006420A1"/>
    <w:rsid w:val="00647CD9"/>
    <w:rsid w:val="0065053C"/>
    <w:rsid w:val="00650B64"/>
    <w:rsid w:val="006561E3"/>
    <w:rsid w:val="0065640B"/>
    <w:rsid w:val="0066060D"/>
    <w:rsid w:val="006607B2"/>
    <w:rsid w:val="006701DB"/>
    <w:rsid w:val="00674516"/>
    <w:rsid w:val="006763FD"/>
    <w:rsid w:val="00682BE0"/>
    <w:rsid w:val="006839C1"/>
    <w:rsid w:val="00690109"/>
    <w:rsid w:val="00690AEC"/>
    <w:rsid w:val="00693AE5"/>
    <w:rsid w:val="00694349"/>
    <w:rsid w:val="0069469A"/>
    <w:rsid w:val="00694B39"/>
    <w:rsid w:val="00694B8F"/>
    <w:rsid w:val="00696157"/>
    <w:rsid w:val="00696724"/>
    <w:rsid w:val="006A1DD6"/>
    <w:rsid w:val="006A39DF"/>
    <w:rsid w:val="006A6CB8"/>
    <w:rsid w:val="006B4C57"/>
    <w:rsid w:val="006B6215"/>
    <w:rsid w:val="006B6384"/>
    <w:rsid w:val="006B7B0A"/>
    <w:rsid w:val="006C00E8"/>
    <w:rsid w:val="006C1E8F"/>
    <w:rsid w:val="006C6A63"/>
    <w:rsid w:val="006D38BA"/>
    <w:rsid w:val="006D4721"/>
    <w:rsid w:val="006E6E37"/>
    <w:rsid w:val="006F15E9"/>
    <w:rsid w:val="006F2131"/>
    <w:rsid w:val="006F5E5C"/>
    <w:rsid w:val="006F70D2"/>
    <w:rsid w:val="00700B66"/>
    <w:rsid w:val="00702716"/>
    <w:rsid w:val="007029D9"/>
    <w:rsid w:val="0070597C"/>
    <w:rsid w:val="00710158"/>
    <w:rsid w:val="0071454A"/>
    <w:rsid w:val="007159E0"/>
    <w:rsid w:val="0072111D"/>
    <w:rsid w:val="00721359"/>
    <w:rsid w:val="00722C7A"/>
    <w:rsid w:val="00723A9A"/>
    <w:rsid w:val="00724C59"/>
    <w:rsid w:val="007251D4"/>
    <w:rsid w:val="00725C17"/>
    <w:rsid w:val="00731E10"/>
    <w:rsid w:val="00732658"/>
    <w:rsid w:val="007337B2"/>
    <w:rsid w:val="0073506D"/>
    <w:rsid w:val="007402DE"/>
    <w:rsid w:val="00745211"/>
    <w:rsid w:val="0074540B"/>
    <w:rsid w:val="00745ABB"/>
    <w:rsid w:val="00746729"/>
    <w:rsid w:val="00746C1A"/>
    <w:rsid w:val="00746DF7"/>
    <w:rsid w:val="00750D5D"/>
    <w:rsid w:val="0075237F"/>
    <w:rsid w:val="00753233"/>
    <w:rsid w:val="00753248"/>
    <w:rsid w:val="00754EC8"/>
    <w:rsid w:val="00761105"/>
    <w:rsid w:val="00771672"/>
    <w:rsid w:val="007746C2"/>
    <w:rsid w:val="00776177"/>
    <w:rsid w:val="00780B28"/>
    <w:rsid w:val="00790221"/>
    <w:rsid w:val="00790D0A"/>
    <w:rsid w:val="00796BBD"/>
    <w:rsid w:val="00797664"/>
    <w:rsid w:val="00797CF4"/>
    <w:rsid w:val="007A2755"/>
    <w:rsid w:val="007A4616"/>
    <w:rsid w:val="007B008B"/>
    <w:rsid w:val="007B512D"/>
    <w:rsid w:val="007B5CB1"/>
    <w:rsid w:val="007B68F5"/>
    <w:rsid w:val="007C0F75"/>
    <w:rsid w:val="007C4809"/>
    <w:rsid w:val="007D049E"/>
    <w:rsid w:val="007D5123"/>
    <w:rsid w:val="007D5C00"/>
    <w:rsid w:val="007D7EE7"/>
    <w:rsid w:val="007E153E"/>
    <w:rsid w:val="007E2D86"/>
    <w:rsid w:val="007E3CDE"/>
    <w:rsid w:val="007E4211"/>
    <w:rsid w:val="007E6E1B"/>
    <w:rsid w:val="007F00FD"/>
    <w:rsid w:val="007F010B"/>
    <w:rsid w:val="007F091C"/>
    <w:rsid w:val="007F0E63"/>
    <w:rsid w:val="007F1E5B"/>
    <w:rsid w:val="007F510E"/>
    <w:rsid w:val="007F5278"/>
    <w:rsid w:val="00800CFF"/>
    <w:rsid w:val="00803362"/>
    <w:rsid w:val="00803957"/>
    <w:rsid w:val="00810A13"/>
    <w:rsid w:val="008126B4"/>
    <w:rsid w:val="0081447B"/>
    <w:rsid w:val="00816B40"/>
    <w:rsid w:val="00820913"/>
    <w:rsid w:val="00822AA8"/>
    <w:rsid w:val="008251DB"/>
    <w:rsid w:val="00825B19"/>
    <w:rsid w:val="0082746C"/>
    <w:rsid w:val="00830519"/>
    <w:rsid w:val="00830791"/>
    <w:rsid w:val="00831F60"/>
    <w:rsid w:val="008339CE"/>
    <w:rsid w:val="0083435C"/>
    <w:rsid w:val="008347E7"/>
    <w:rsid w:val="00834B80"/>
    <w:rsid w:val="00836498"/>
    <w:rsid w:val="00841334"/>
    <w:rsid w:val="008430CF"/>
    <w:rsid w:val="00846166"/>
    <w:rsid w:val="00854440"/>
    <w:rsid w:val="008550E0"/>
    <w:rsid w:val="00857C0D"/>
    <w:rsid w:val="008617EE"/>
    <w:rsid w:val="00862F74"/>
    <w:rsid w:val="008727CB"/>
    <w:rsid w:val="008740C2"/>
    <w:rsid w:val="008753CD"/>
    <w:rsid w:val="008758D8"/>
    <w:rsid w:val="00876DD4"/>
    <w:rsid w:val="00883A39"/>
    <w:rsid w:val="00883C76"/>
    <w:rsid w:val="008868B0"/>
    <w:rsid w:val="00886E83"/>
    <w:rsid w:val="00887116"/>
    <w:rsid w:val="00892313"/>
    <w:rsid w:val="00896A4B"/>
    <w:rsid w:val="008973F5"/>
    <w:rsid w:val="00897FA9"/>
    <w:rsid w:val="008A690B"/>
    <w:rsid w:val="008A718D"/>
    <w:rsid w:val="008B125F"/>
    <w:rsid w:val="008B1B1E"/>
    <w:rsid w:val="008B2C2C"/>
    <w:rsid w:val="008B4ED6"/>
    <w:rsid w:val="008B70DF"/>
    <w:rsid w:val="008C26ED"/>
    <w:rsid w:val="008C2758"/>
    <w:rsid w:val="008C386D"/>
    <w:rsid w:val="008C56A3"/>
    <w:rsid w:val="008D1E2E"/>
    <w:rsid w:val="008D25E1"/>
    <w:rsid w:val="008D5298"/>
    <w:rsid w:val="008D5A29"/>
    <w:rsid w:val="008E2E1B"/>
    <w:rsid w:val="008E3D9D"/>
    <w:rsid w:val="008E7E40"/>
    <w:rsid w:val="008E7FE0"/>
    <w:rsid w:val="008F0394"/>
    <w:rsid w:val="008F44BA"/>
    <w:rsid w:val="008F540A"/>
    <w:rsid w:val="008F6B52"/>
    <w:rsid w:val="008F7B9D"/>
    <w:rsid w:val="00901691"/>
    <w:rsid w:val="0090359C"/>
    <w:rsid w:val="00904458"/>
    <w:rsid w:val="00904812"/>
    <w:rsid w:val="00905850"/>
    <w:rsid w:val="009157D9"/>
    <w:rsid w:val="00916CE5"/>
    <w:rsid w:val="00917775"/>
    <w:rsid w:val="00920550"/>
    <w:rsid w:val="00920672"/>
    <w:rsid w:val="00920CCB"/>
    <w:rsid w:val="00923467"/>
    <w:rsid w:val="009269AF"/>
    <w:rsid w:val="00930343"/>
    <w:rsid w:val="009316AA"/>
    <w:rsid w:val="00931B19"/>
    <w:rsid w:val="009345D9"/>
    <w:rsid w:val="00935420"/>
    <w:rsid w:val="00942306"/>
    <w:rsid w:val="009447EC"/>
    <w:rsid w:val="00945F17"/>
    <w:rsid w:val="00952E5F"/>
    <w:rsid w:val="009559E8"/>
    <w:rsid w:val="009570F7"/>
    <w:rsid w:val="009646C4"/>
    <w:rsid w:val="009737CB"/>
    <w:rsid w:val="009738FF"/>
    <w:rsid w:val="009741B1"/>
    <w:rsid w:val="00981490"/>
    <w:rsid w:val="00983777"/>
    <w:rsid w:val="00985415"/>
    <w:rsid w:val="00990D24"/>
    <w:rsid w:val="00993A95"/>
    <w:rsid w:val="009945AE"/>
    <w:rsid w:val="0099519E"/>
    <w:rsid w:val="009A188E"/>
    <w:rsid w:val="009A52FE"/>
    <w:rsid w:val="009B06ED"/>
    <w:rsid w:val="009B0C9D"/>
    <w:rsid w:val="009B7FBD"/>
    <w:rsid w:val="009C0C87"/>
    <w:rsid w:val="009C2B52"/>
    <w:rsid w:val="009C383F"/>
    <w:rsid w:val="009C5C3C"/>
    <w:rsid w:val="009C7FF3"/>
    <w:rsid w:val="009D3D63"/>
    <w:rsid w:val="009D62A4"/>
    <w:rsid w:val="009E2786"/>
    <w:rsid w:val="009F050A"/>
    <w:rsid w:val="009F0FDF"/>
    <w:rsid w:val="009F10CE"/>
    <w:rsid w:val="009F50A1"/>
    <w:rsid w:val="00A005F2"/>
    <w:rsid w:val="00A02A7A"/>
    <w:rsid w:val="00A04395"/>
    <w:rsid w:val="00A049A2"/>
    <w:rsid w:val="00A05701"/>
    <w:rsid w:val="00A07854"/>
    <w:rsid w:val="00A203D4"/>
    <w:rsid w:val="00A218F9"/>
    <w:rsid w:val="00A23C8A"/>
    <w:rsid w:val="00A307DD"/>
    <w:rsid w:val="00A346A7"/>
    <w:rsid w:val="00A34AB7"/>
    <w:rsid w:val="00A428AC"/>
    <w:rsid w:val="00A45984"/>
    <w:rsid w:val="00A51211"/>
    <w:rsid w:val="00A52800"/>
    <w:rsid w:val="00A54615"/>
    <w:rsid w:val="00A5623B"/>
    <w:rsid w:val="00A6149C"/>
    <w:rsid w:val="00A62D84"/>
    <w:rsid w:val="00A6713C"/>
    <w:rsid w:val="00A674DC"/>
    <w:rsid w:val="00A70CBE"/>
    <w:rsid w:val="00A73E4D"/>
    <w:rsid w:val="00A74C62"/>
    <w:rsid w:val="00A8517A"/>
    <w:rsid w:val="00A858FB"/>
    <w:rsid w:val="00A85F92"/>
    <w:rsid w:val="00A86E35"/>
    <w:rsid w:val="00A878C1"/>
    <w:rsid w:val="00A9181A"/>
    <w:rsid w:val="00A945E4"/>
    <w:rsid w:val="00A9616A"/>
    <w:rsid w:val="00A96D36"/>
    <w:rsid w:val="00AA1999"/>
    <w:rsid w:val="00AA6304"/>
    <w:rsid w:val="00AA76B3"/>
    <w:rsid w:val="00AB26DD"/>
    <w:rsid w:val="00AB2B74"/>
    <w:rsid w:val="00AB462E"/>
    <w:rsid w:val="00AB509D"/>
    <w:rsid w:val="00AB7870"/>
    <w:rsid w:val="00AC0B5F"/>
    <w:rsid w:val="00AC0B70"/>
    <w:rsid w:val="00AD0A96"/>
    <w:rsid w:val="00AD5C3B"/>
    <w:rsid w:val="00AE0186"/>
    <w:rsid w:val="00AE071F"/>
    <w:rsid w:val="00AE2355"/>
    <w:rsid w:val="00AE39A0"/>
    <w:rsid w:val="00AE4468"/>
    <w:rsid w:val="00AE66AE"/>
    <w:rsid w:val="00AE6C37"/>
    <w:rsid w:val="00AE7AD3"/>
    <w:rsid w:val="00AF1CF0"/>
    <w:rsid w:val="00AF2C83"/>
    <w:rsid w:val="00AF3480"/>
    <w:rsid w:val="00AF4E73"/>
    <w:rsid w:val="00AF602D"/>
    <w:rsid w:val="00AF653B"/>
    <w:rsid w:val="00B02BA0"/>
    <w:rsid w:val="00B10985"/>
    <w:rsid w:val="00B15479"/>
    <w:rsid w:val="00B212B2"/>
    <w:rsid w:val="00B215BD"/>
    <w:rsid w:val="00B2551A"/>
    <w:rsid w:val="00B27EAD"/>
    <w:rsid w:val="00B32136"/>
    <w:rsid w:val="00B32770"/>
    <w:rsid w:val="00B3640C"/>
    <w:rsid w:val="00B42617"/>
    <w:rsid w:val="00B46A80"/>
    <w:rsid w:val="00B47008"/>
    <w:rsid w:val="00B5148E"/>
    <w:rsid w:val="00B6077C"/>
    <w:rsid w:val="00B6280A"/>
    <w:rsid w:val="00B64F03"/>
    <w:rsid w:val="00B64FDA"/>
    <w:rsid w:val="00B6541B"/>
    <w:rsid w:val="00B6640F"/>
    <w:rsid w:val="00B66D90"/>
    <w:rsid w:val="00B66E9E"/>
    <w:rsid w:val="00B71524"/>
    <w:rsid w:val="00B76E99"/>
    <w:rsid w:val="00B82177"/>
    <w:rsid w:val="00B932FA"/>
    <w:rsid w:val="00B952C0"/>
    <w:rsid w:val="00BA0D07"/>
    <w:rsid w:val="00BA12EF"/>
    <w:rsid w:val="00BA1664"/>
    <w:rsid w:val="00BA23AD"/>
    <w:rsid w:val="00BA303A"/>
    <w:rsid w:val="00BA3061"/>
    <w:rsid w:val="00BA41A8"/>
    <w:rsid w:val="00BA4662"/>
    <w:rsid w:val="00BA66B6"/>
    <w:rsid w:val="00BB318F"/>
    <w:rsid w:val="00BC1954"/>
    <w:rsid w:val="00BC286D"/>
    <w:rsid w:val="00BD50AE"/>
    <w:rsid w:val="00BD5247"/>
    <w:rsid w:val="00BD578B"/>
    <w:rsid w:val="00BD6846"/>
    <w:rsid w:val="00BE30D8"/>
    <w:rsid w:val="00BE312A"/>
    <w:rsid w:val="00BE4303"/>
    <w:rsid w:val="00BE55BE"/>
    <w:rsid w:val="00BE773E"/>
    <w:rsid w:val="00BF11C1"/>
    <w:rsid w:val="00BF423C"/>
    <w:rsid w:val="00BF79CF"/>
    <w:rsid w:val="00C00E49"/>
    <w:rsid w:val="00C02B98"/>
    <w:rsid w:val="00C06C7E"/>
    <w:rsid w:val="00C100E8"/>
    <w:rsid w:val="00C12263"/>
    <w:rsid w:val="00C14A85"/>
    <w:rsid w:val="00C2097B"/>
    <w:rsid w:val="00C2295A"/>
    <w:rsid w:val="00C22E5C"/>
    <w:rsid w:val="00C244D4"/>
    <w:rsid w:val="00C33C40"/>
    <w:rsid w:val="00C37F5E"/>
    <w:rsid w:val="00C40D40"/>
    <w:rsid w:val="00C4142D"/>
    <w:rsid w:val="00C429DD"/>
    <w:rsid w:val="00C43E9C"/>
    <w:rsid w:val="00C44ED8"/>
    <w:rsid w:val="00C503CD"/>
    <w:rsid w:val="00C528DB"/>
    <w:rsid w:val="00C6089F"/>
    <w:rsid w:val="00C611A6"/>
    <w:rsid w:val="00C613FE"/>
    <w:rsid w:val="00C62B55"/>
    <w:rsid w:val="00C63CD0"/>
    <w:rsid w:val="00C64D9A"/>
    <w:rsid w:val="00C66176"/>
    <w:rsid w:val="00C71330"/>
    <w:rsid w:val="00C71F07"/>
    <w:rsid w:val="00C72768"/>
    <w:rsid w:val="00C73CDA"/>
    <w:rsid w:val="00C7588F"/>
    <w:rsid w:val="00C827F0"/>
    <w:rsid w:val="00C84648"/>
    <w:rsid w:val="00C86811"/>
    <w:rsid w:val="00C8706D"/>
    <w:rsid w:val="00C93124"/>
    <w:rsid w:val="00C939FF"/>
    <w:rsid w:val="00C947B4"/>
    <w:rsid w:val="00C94A06"/>
    <w:rsid w:val="00C94B82"/>
    <w:rsid w:val="00C9551B"/>
    <w:rsid w:val="00CA0B42"/>
    <w:rsid w:val="00CA2084"/>
    <w:rsid w:val="00CB60A9"/>
    <w:rsid w:val="00CC0D94"/>
    <w:rsid w:val="00CC23DE"/>
    <w:rsid w:val="00CC7016"/>
    <w:rsid w:val="00CD3229"/>
    <w:rsid w:val="00CD7F52"/>
    <w:rsid w:val="00CE0AF4"/>
    <w:rsid w:val="00CE0B80"/>
    <w:rsid w:val="00CE65D8"/>
    <w:rsid w:val="00CE6B46"/>
    <w:rsid w:val="00CE7C45"/>
    <w:rsid w:val="00CF0C00"/>
    <w:rsid w:val="00CF1A64"/>
    <w:rsid w:val="00CF21F3"/>
    <w:rsid w:val="00CF264D"/>
    <w:rsid w:val="00CF4102"/>
    <w:rsid w:val="00CF44A5"/>
    <w:rsid w:val="00CF4ADB"/>
    <w:rsid w:val="00CF4B15"/>
    <w:rsid w:val="00CF5E52"/>
    <w:rsid w:val="00CF74CC"/>
    <w:rsid w:val="00D00D0E"/>
    <w:rsid w:val="00D03E1C"/>
    <w:rsid w:val="00D068C9"/>
    <w:rsid w:val="00D12833"/>
    <w:rsid w:val="00D14C67"/>
    <w:rsid w:val="00D17624"/>
    <w:rsid w:val="00D17EB8"/>
    <w:rsid w:val="00D213EA"/>
    <w:rsid w:val="00D21E74"/>
    <w:rsid w:val="00D22E19"/>
    <w:rsid w:val="00D2639C"/>
    <w:rsid w:val="00D30F78"/>
    <w:rsid w:val="00D33C81"/>
    <w:rsid w:val="00D34483"/>
    <w:rsid w:val="00D359BD"/>
    <w:rsid w:val="00D37DBC"/>
    <w:rsid w:val="00D450E9"/>
    <w:rsid w:val="00D45781"/>
    <w:rsid w:val="00D468A3"/>
    <w:rsid w:val="00D47DCE"/>
    <w:rsid w:val="00D53669"/>
    <w:rsid w:val="00D5398A"/>
    <w:rsid w:val="00D53B56"/>
    <w:rsid w:val="00D54FD3"/>
    <w:rsid w:val="00D574A6"/>
    <w:rsid w:val="00D716C0"/>
    <w:rsid w:val="00D7475D"/>
    <w:rsid w:val="00D76826"/>
    <w:rsid w:val="00D82EA6"/>
    <w:rsid w:val="00D832C8"/>
    <w:rsid w:val="00D876D6"/>
    <w:rsid w:val="00D92A4C"/>
    <w:rsid w:val="00D92D48"/>
    <w:rsid w:val="00D961A3"/>
    <w:rsid w:val="00DA3952"/>
    <w:rsid w:val="00DA60E1"/>
    <w:rsid w:val="00DA6412"/>
    <w:rsid w:val="00DA66A6"/>
    <w:rsid w:val="00DB1679"/>
    <w:rsid w:val="00DB308F"/>
    <w:rsid w:val="00DB7C79"/>
    <w:rsid w:val="00DC46FB"/>
    <w:rsid w:val="00DC47CA"/>
    <w:rsid w:val="00DC4817"/>
    <w:rsid w:val="00DC6376"/>
    <w:rsid w:val="00DC6B09"/>
    <w:rsid w:val="00DD410C"/>
    <w:rsid w:val="00DD62D6"/>
    <w:rsid w:val="00DD709C"/>
    <w:rsid w:val="00DE0A42"/>
    <w:rsid w:val="00DE0AB1"/>
    <w:rsid w:val="00DE2A39"/>
    <w:rsid w:val="00DE37A2"/>
    <w:rsid w:val="00DF143F"/>
    <w:rsid w:val="00DF209D"/>
    <w:rsid w:val="00DF362F"/>
    <w:rsid w:val="00DF4F19"/>
    <w:rsid w:val="00E01377"/>
    <w:rsid w:val="00E04782"/>
    <w:rsid w:val="00E11F68"/>
    <w:rsid w:val="00E12CE0"/>
    <w:rsid w:val="00E13420"/>
    <w:rsid w:val="00E14159"/>
    <w:rsid w:val="00E1686F"/>
    <w:rsid w:val="00E17B51"/>
    <w:rsid w:val="00E20EDA"/>
    <w:rsid w:val="00E24F0A"/>
    <w:rsid w:val="00E255D0"/>
    <w:rsid w:val="00E263B0"/>
    <w:rsid w:val="00E26AB3"/>
    <w:rsid w:val="00E27157"/>
    <w:rsid w:val="00E27715"/>
    <w:rsid w:val="00E31BFA"/>
    <w:rsid w:val="00E31E43"/>
    <w:rsid w:val="00E33596"/>
    <w:rsid w:val="00E33D6F"/>
    <w:rsid w:val="00E35152"/>
    <w:rsid w:val="00E37387"/>
    <w:rsid w:val="00E374D6"/>
    <w:rsid w:val="00E406F2"/>
    <w:rsid w:val="00E4249B"/>
    <w:rsid w:val="00E4534F"/>
    <w:rsid w:val="00E46357"/>
    <w:rsid w:val="00E47EBB"/>
    <w:rsid w:val="00E51762"/>
    <w:rsid w:val="00E517C6"/>
    <w:rsid w:val="00E5220E"/>
    <w:rsid w:val="00E5453D"/>
    <w:rsid w:val="00E54709"/>
    <w:rsid w:val="00E5665D"/>
    <w:rsid w:val="00E62491"/>
    <w:rsid w:val="00E635E7"/>
    <w:rsid w:val="00E65336"/>
    <w:rsid w:val="00E67AF0"/>
    <w:rsid w:val="00E727FF"/>
    <w:rsid w:val="00E729A3"/>
    <w:rsid w:val="00E737AD"/>
    <w:rsid w:val="00E74937"/>
    <w:rsid w:val="00E7578D"/>
    <w:rsid w:val="00E82048"/>
    <w:rsid w:val="00E82BE8"/>
    <w:rsid w:val="00E85205"/>
    <w:rsid w:val="00E90EAE"/>
    <w:rsid w:val="00E90F3A"/>
    <w:rsid w:val="00E91BA2"/>
    <w:rsid w:val="00E927CB"/>
    <w:rsid w:val="00E93254"/>
    <w:rsid w:val="00E93288"/>
    <w:rsid w:val="00E95201"/>
    <w:rsid w:val="00E95DF9"/>
    <w:rsid w:val="00E96C4C"/>
    <w:rsid w:val="00E9771C"/>
    <w:rsid w:val="00EA2462"/>
    <w:rsid w:val="00EA3B82"/>
    <w:rsid w:val="00EA3DB7"/>
    <w:rsid w:val="00EA40E6"/>
    <w:rsid w:val="00EA4364"/>
    <w:rsid w:val="00EA4D9B"/>
    <w:rsid w:val="00EA4F23"/>
    <w:rsid w:val="00EA54D1"/>
    <w:rsid w:val="00EA5EA2"/>
    <w:rsid w:val="00EB2C70"/>
    <w:rsid w:val="00EB3649"/>
    <w:rsid w:val="00EB60B6"/>
    <w:rsid w:val="00EB65A8"/>
    <w:rsid w:val="00EB69CD"/>
    <w:rsid w:val="00EC449E"/>
    <w:rsid w:val="00EC4D7F"/>
    <w:rsid w:val="00EC54E5"/>
    <w:rsid w:val="00ED05E3"/>
    <w:rsid w:val="00ED0B1B"/>
    <w:rsid w:val="00ED2A90"/>
    <w:rsid w:val="00ED3155"/>
    <w:rsid w:val="00ED31F1"/>
    <w:rsid w:val="00ED3BD3"/>
    <w:rsid w:val="00EE05C7"/>
    <w:rsid w:val="00EE2872"/>
    <w:rsid w:val="00EE2C48"/>
    <w:rsid w:val="00EE4085"/>
    <w:rsid w:val="00EE6E9F"/>
    <w:rsid w:val="00EF0481"/>
    <w:rsid w:val="00EF246B"/>
    <w:rsid w:val="00EF42F6"/>
    <w:rsid w:val="00EF4DD9"/>
    <w:rsid w:val="00EF59C8"/>
    <w:rsid w:val="00F01DF8"/>
    <w:rsid w:val="00F024BE"/>
    <w:rsid w:val="00F040AE"/>
    <w:rsid w:val="00F047C6"/>
    <w:rsid w:val="00F06F5F"/>
    <w:rsid w:val="00F07A39"/>
    <w:rsid w:val="00F11A49"/>
    <w:rsid w:val="00F126B2"/>
    <w:rsid w:val="00F13D08"/>
    <w:rsid w:val="00F212B0"/>
    <w:rsid w:val="00F24D22"/>
    <w:rsid w:val="00F25820"/>
    <w:rsid w:val="00F263D6"/>
    <w:rsid w:val="00F3062D"/>
    <w:rsid w:val="00F34732"/>
    <w:rsid w:val="00F3499E"/>
    <w:rsid w:val="00F37AC3"/>
    <w:rsid w:val="00F41B4D"/>
    <w:rsid w:val="00F431C9"/>
    <w:rsid w:val="00F4352C"/>
    <w:rsid w:val="00F44B86"/>
    <w:rsid w:val="00F45769"/>
    <w:rsid w:val="00F45DEF"/>
    <w:rsid w:val="00F50807"/>
    <w:rsid w:val="00F50F82"/>
    <w:rsid w:val="00F523FF"/>
    <w:rsid w:val="00F53393"/>
    <w:rsid w:val="00F5490B"/>
    <w:rsid w:val="00F631AD"/>
    <w:rsid w:val="00F63364"/>
    <w:rsid w:val="00F73361"/>
    <w:rsid w:val="00F8059D"/>
    <w:rsid w:val="00F83593"/>
    <w:rsid w:val="00F874AA"/>
    <w:rsid w:val="00F92ED1"/>
    <w:rsid w:val="00F93F89"/>
    <w:rsid w:val="00F94082"/>
    <w:rsid w:val="00F95ADA"/>
    <w:rsid w:val="00F96591"/>
    <w:rsid w:val="00F977A5"/>
    <w:rsid w:val="00FA0ABD"/>
    <w:rsid w:val="00FA4FF9"/>
    <w:rsid w:val="00FB03F7"/>
    <w:rsid w:val="00FC1214"/>
    <w:rsid w:val="00FC339D"/>
    <w:rsid w:val="00FC59A1"/>
    <w:rsid w:val="00FC691E"/>
    <w:rsid w:val="00FC6B9F"/>
    <w:rsid w:val="00FC7A70"/>
    <w:rsid w:val="00FD623B"/>
    <w:rsid w:val="00FD7DCC"/>
    <w:rsid w:val="00FE3E6F"/>
    <w:rsid w:val="00FE46DD"/>
    <w:rsid w:val="00FE712F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FE103"/>
  <w15:docId w15:val="{31A81D4D-2989-4195-9009-24B3C46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086C"/>
  </w:style>
  <w:style w:type="paragraph" w:styleId="Titolo1">
    <w:name w:val="heading 1"/>
    <w:basedOn w:val="Normale"/>
    <w:next w:val="Normale"/>
    <w:link w:val="Titolo1Carattere"/>
    <w:uiPriority w:val="9"/>
    <w:qFormat/>
    <w:rsid w:val="00ED2A90"/>
    <w:pPr>
      <w:keepNext/>
      <w:keepLines/>
      <w:spacing w:before="36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6A4B"/>
    <w:pPr>
      <w:keepNext/>
      <w:keepLines/>
      <w:spacing w:before="240" w:after="120" w:line="240" w:lineRule="auto"/>
      <w:jc w:val="both"/>
      <w:outlineLvl w:val="1"/>
    </w:pPr>
    <w:rPr>
      <w:rFonts w:ascii="Calibri" w:eastAsiaTheme="majorEastAsia" w:hAnsi="Calibri" w:cstheme="majorBidi"/>
      <w:sz w:val="20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E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A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A5EA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3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3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309A"/>
    <w:rPr>
      <w:vertAlign w:val="superscript"/>
    </w:rPr>
  </w:style>
  <w:style w:type="character" w:customStyle="1" w:styleId="tgc">
    <w:name w:val="_tgc"/>
    <w:basedOn w:val="Carpredefinitoparagrafo"/>
    <w:rsid w:val="003B72F9"/>
  </w:style>
  <w:style w:type="table" w:styleId="Grigliatabella">
    <w:name w:val="Table Grid"/>
    <w:basedOn w:val="Tabellanormale"/>
    <w:uiPriority w:val="39"/>
    <w:rsid w:val="00C6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FB5"/>
  </w:style>
  <w:style w:type="paragraph" w:styleId="Pidipagina">
    <w:name w:val="footer"/>
    <w:basedOn w:val="Normale"/>
    <w:link w:val="PidipaginaCarattere"/>
    <w:uiPriority w:val="99"/>
    <w:unhideWhenUsed/>
    <w:rsid w:val="00262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FB5"/>
  </w:style>
  <w:style w:type="paragraph" w:styleId="Didascalia">
    <w:name w:val="caption"/>
    <w:basedOn w:val="Normale"/>
    <w:next w:val="Normale"/>
    <w:uiPriority w:val="35"/>
    <w:unhideWhenUsed/>
    <w:qFormat/>
    <w:rsid w:val="00D468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3C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C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C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C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CD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D623B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96A4B"/>
    <w:rPr>
      <w:rFonts w:ascii="Calibri" w:eastAsiaTheme="majorEastAsia" w:hAnsi="Calibri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2A90"/>
    <w:rPr>
      <w:rFonts w:eastAsiaTheme="majorEastAsia" w:cstheme="majorBidi"/>
      <w:b/>
      <w:sz w:val="24"/>
      <w:szCs w:val="32"/>
    </w:rPr>
  </w:style>
  <w:style w:type="character" w:styleId="Enfasidelicata">
    <w:name w:val="Subtle Emphasis"/>
    <w:basedOn w:val="Carpredefinitoparagrafo"/>
    <w:uiPriority w:val="19"/>
    <w:qFormat/>
    <w:rsid w:val="006C00E8"/>
    <w:rPr>
      <w:i/>
      <w:iCs/>
      <w:color w:val="404040" w:themeColor="text1" w:themeTint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E1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D03E1C"/>
    <w:rPr>
      <w:i/>
      <w:iCs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D03E1C"/>
    <w:pPr>
      <w:keepNext/>
      <w:spacing w:before="40" w:after="0" w:line="240" w:lineRule="auto"/>
      <w:ind w:right="-675"/>
    </w:pPr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E1C"/>
    <w:rPr>
      <w:rFonts w:ascii="Garamond" w:eastAsia="Calibri" w:hAnsi="Garamond" w:cs="Times New Roman"/>
      <w:b/>
      <w:bCs/>
      <w:smallCaps/>
      <w:spacing w:val="-10"/>
      <w:sz w:val="56"/>
      <w:szCs w:val="36"/>
    </w:rPr>
  </w:style>
  <w:style w:type="paragraph" w:customStyle="1" w:styleId="Categoria">
    <w:name w:val="Categoria"/>
    <w:basedOn w:val="Normale"/>
    <w:qFormat/>
    <w:rsid w:val="00D03E1C"/>
    <w:pPr>
      <w:spacing w:before="240" w:after="0" w:line="240" w:lineRule="auto"/>
    </w:pPr>
    <w:rPr>
      <w:b/>
      <w:bCs/>
      <w:caps/>
      <w:sz w:val="20"/>
      <w:szCs w:val="20"/>
      <w:lang w:val="en-GB"/>
    </w:rPr>
  </w:style>
  <w:style w:type="paragraph" w:customStyle="1" w:styleId="Data1">
    <w:name w:val="Data1"/>
    <w:basedOn w:val="Categoria"/>
    <w:qFormat/>
    <w:rsid w:val="00D03E1C"/>
    <w:rPr>
      <w:caps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700B66"/>
    <w:pPr>
      <w:tabs>
        <w:tab w:val="left" w:pos="284"/>
        <w:tab w:val="right" w:leader="dot" w:pos="9060"/>
      </w:tabs>
      <w:spacing w:before="360" w:after="120"/>
      <w:ind w:right="397"/>
    </w:pPr>
    <w:rPr>
      <w:b/>
      <w:smallCaps/>
    </w:rPr>
  </w:style>
  <w:style w:type="paragraph" w:styleId="Sommario2">
    <w:name w:val="toc 2"/>
    <w:basedOn w:val="Normale"/>
    <w:next w:val="Normale"/>
    <w:autoRedefine/>
    <w:uiPriority w:val="39"/>
    <w:unhideWhenUsed/>
    <w:rsid w:val="00700B66"/>
    <w:pPr>
      <w:tabs>
        <w:tab w:val="right" w:leader="dot" w:pos="9060"/>
      </w:tabs>
      <w:spacing w:after="100"/>
      <w:ind w:left="993" w:right="397" w:hanging="993"/>
    </w:pPr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077302"/>
    <w:rPr>
      <w:color w:val="0563C1" w:themeColor="hyperlink"/>
      <w:u w:val="single"/>
    </w:rPr>
  </w:style>
  <w:style w:type="table" w:customStyle="1" w:styleId="Tabellagriglia4-colore11">
    <w:name w:val="Tabella griglia 4 - colore 11"/>
    <w:basedOn w:val="Tabellanormale"/>
    <w:uiPriority w:val="49"/>
    <w:rsid w:val="0042073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5220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4E37B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3-colore11">
    <w:name w:val="Tabella elenco 3 - colore 11"/>
    <w:basedOn w:val="Tabellanormale"/>
    <w:uiPriority w:val="48"/>
    <w:rsid w:val="00D17EB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D17EB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25C42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76E9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76E9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76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9625639644492323E-2"/>
          <c:y val="1.9770660340055358E-2"/>
          <c:w val="0.94074872071101534"/>
          <c:h val="0.76954851284158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'garfici corretti'!$D$5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5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'garfici corretti'!$C$6:$C$9</c:f>
              <c:strCache>
                <c:ptCount val="4"/>
                <c:pt idx="0">
                  <c:v>Addetti</c:v>
                </c:pt>
                <c:pt idx="1">
                  <c:v>Ricavi</c:v>
                </c:pt>
                <c:pt idx="2">
                  <c:v>Valore della produzione</c:v>
                </c:pt>
                <c:pt idx="3">
                  <c:v>Valore Aggiunto</c:v>
                </c:pt>
              </c:strCache>
            </c:strRef>
          </c:cat>
          <c:val>
            <c:numRef>
              <c:f>'garfici corretti'!$D$6:$D$9</c:f>
              <c:numCache>
                <c:formatCode>0.0%</c:formatCode>
                <c:ptCount val="4"/>
                <c:pt idx="0">
                  <c:v>2.1000000000000001E-2</c:v>
                </c:pt>
                <c:pt idx="1">
                  <c:v>4.8000000000000001E-2</c:v>
                </c:pt>
                <c:pt idx="2">
                  <c:v>5.1999999999999998E-2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7-4C3C-8218-C51ABD4ACF7E}"/>
            </c:ext>
          </c:extLst>
        </c:ser>
        <c:ser>
          <c:idx val="1"/>
          <c:order val="1"/>
          <c:tx>
            <c:strRef>
              <c:f>'garfici corretti'!$E$5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'garfici corretti'!$C$6:$C$9</c:f>
              <c:strCache>
                <c:ptCount val="4"/>
                <c:pt idx="0">
                  <c:v>Addetti</c:v>
                </c:pt>
                <c:pt idx="1">
                  <c:v>Ricavi</c:v>
                </c:pt>
                <c:pt idx="2">
                  <c:v>Valore della produzione</c:v>
                </c:pt>
                <c:pt idx="3">
                  <c:v>Valore Aggiunto</c:v>
                </c:pt>
              </c:strCache>
            </c:strRef>
          </c:cat>
          <c:val>
            <c:numRef>
              <c:f>'garfici corretti'!$E$6:$E$9</c:f>
              <c:numCache>
                <c:formatCode>0.0%</c:formatCode>
                <c:ptCount val="4"/>
                <c:pt idx="0">
                  <c:v>3.1E-2</c:v>
                </c:pt>
                <c:pt idx="1">
                  <c:v>1.7999999999999999E-2</c:v>
                </c:pt>
                <c:pt idx="2">
                  <c:v>0.01</c:v>
                </c:pt>
                <c:pt idx="3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17-4C3C-8218-C51ABD4ACF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279488"/>
        <c:axId val="231744640"/>
      </c:barChart>
      <c:catAx>
        <c:axId val="23927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it-IT"/>
          </a:p>
        </c:txPr>
        <c:crossAx val="231744640"/>
        <c:crosses val="autoZero"/>
        <c:auto val="1"/>
        <c:lblAlgn val="ctr"/>
        <c:lblOffset val="100"/>
        <c:noMultiLvlLbl val="0"/>
      </c:catAx>
      <c:valAx>
        <c:axId val="231744640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392794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9895663459519748"/>
          <c:y val="0.89315846061410997"/>
          <c:w val="0.2020865187434657"/>
          <c:h val="7.1502227701964308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'garfici corretti'!$C$35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5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'garfici corretti'!$D$34:$E$34</c:f>
              <c:strCache>
                <c:ptCount val="2"/>
                <c:pt idx="0">
                  <c:v>ROE</c:v>
                </c:pt>
                <c:pt idx="1">
                  <c:v>ROI</c:v>
                </c:pt>
              </c:strCache>
            </c:strRef>
          </c:cat>
          <c:val>
            <c:numRef>
              <c:f>'garfici corretti'!$D$35:$E$35</c:f>
              <c:numCache>
                <c:formatCode>0.0%</c:formatCode>
                <c:ptCount val="2"/>
                <c:pt idx="0">
                  <c:v>0.13700000000000001</c:v>
                </c:pt>
                <c:pt idx="1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D8-47C5-A628-0D9D82917AF5}"/>
            </c:ext>
          </c:extLst>
        </c:ser>
        <c:ser>
          <c:idx val="1"/>
          <c:order val="1"/>
          <c:tx>
            <c:strRef>
              <c:f>'garfici corretti'!$C$36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009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'garfici corretti'!$D$34:$E$34</c:f>
              <c:strCache>
                <c:ptCount val="2"/>
                <c:pt idx="0">
                  <c:v>ROE</c:v>
                </c:pt>
                <c:pt idx="1">
                  <c:v>ROI</c:v>
                </c:pt>
              </c:strCache>
            </c:strRef>
          </c:cat>
          <c:val>
            <c:numRef>
              <c:f>'garfici corretti'!$D$36:$E$36</c:f>
              <c:numCache>
                <c:formatCode>0.0%</c:formatCode>
                <c:ptCount val="2"/>
                <c:pt idx="0">
                  <c:v>0.13500000000000001</c:v>
                </c:pt>
                <c:pt idx="1">
                  <c:v>0.129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D8-47C5-A628-0D9D82917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71776"/>
        <c:axId val="234242048"/>
      </c:barChart>
      <c:catAx>
        <c:axId val="23217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it-IT"/>
          </a:p>
        </c:txPr>
        <c:crossAx val="234242048"/>
        <c:crosses val="autoZero"/>
        <c:auto val="1"/>
        <c:lblAlgn val="ctr"/>
        <c:lblOffset val="100"/>
        <c:noMultiLvlLbl val="0"/>
      </c:catAx>
      <c:valAx>
        <c:axId val="23424204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2321717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0099644433940984"/>
          <c:y val="2.4808669573383228E-2"/>
          <c:w val="0.46257790763876205"/>
          <c:h val="0.919036753169983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E5E5FF"/>
            </a:solidFill>
          </c:spPr>
          <c:invertIfNegative val="0"/>
          <c:dLbls>
            <c:dLbl>
              <c:idx val="0"/>
              <c:layout>
                <c:manualLayout>
                  <c:x val="-0.17923837965001987"/>
                  <c:y val="1.103740008883130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F4-4484-9650-2E293BD42A43}"/>
                </c:ext>
              </c:extLst>
            </c:dLbl>
            <c:dLbl>
              <c:idx val="1"/>
              <c:layout>
                <c:manualLayout>
                  <c:x val="-0.17699304981147471"/>
                  <c:y val="-3.01023479831426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F4-4484-9650-2E293BD42A43}"/>
                </c:ext>
              </c:extLst>
            </c:dLbl>
            <c:dLbl>
              <c:idx val="2"/>
              <c:layout>
                <c:manualLayout>
                  <c:x val="-0.17483129411006423"/>
                  <c:y val="-4.740527240336053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F4-4484-9650-2E293BD42A43}"/>
                </c:ext>
              </c:extLst>
            </c:dLbl>
            <c:dLbl>
              <c:idx val="3"/>
              <c:layout>
                <c:manualLayout>
                  <c:x val="-0.15380197870900517"/>
                  <c:y val="-7.964085765618852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F4-4484-9650-2E293BD42A43}"/>
                </c:ext>
              </c:extLst>
            </c:dLbl>
            <c:dLbl>
              <c:idx val="4"/>
              <c:layout>
                <c:manualLayout>
                  <c:x val="-0.10355480121601444"/>
                  <c:y val="9.708599790468696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F4-4484-9650-2E293BD42A43}"/>
                </c:ext>
              </c:extLst>
            </c:dLbl>
            <c:dLbl>
              <c:idx val="5"/>
              <c:layout>
                <c:manualLayout>
                  <c:x val="-8.9191006649407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F4-4484-9650-2E293BD42A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'garfici corretti'!$B$71:$B$91</c:f>
              <c:strCache>
                <c:ptCount val="21"/>
                <c:pt idx="0">
                  <c:v>Metallurgia</c:v>
                </c:pt>
                <c:pt idx="1">
                  <c:v>Coke e Raffinati</c:v>
                </c:pt>
                <c:pt idx="2">
                  <c:v>Autoveicoli</c:v>
                </c:pt>
                <c:pt idx="3">
                  <c:v>Farmaceutica</c:v>
                </c:pt>
                <c:pt idx="4">
                  <c:v>Industrie tessili</c:v>
                </c:pt>
                <c:pt idx="5">
                  <c:v>metallo</c:v>
                </c:pt>
                <c:pt idx="6">
                  <c:v>Chimica</c:v>
                </c:pt>
                <c:pt idx="7">
                  <c:v>Gomma e Plastica</c:v>
                </c:pt>
                <c:pt idx="8">
                  <c:v>Industrie alimentari, bevande e del tabacco</c:v>
                </c:pt>
                <c:pt idx="9">
                  <c:v>Carta</c:v>
                </c:pt>
                <c:pt idx="10">
                  <c:v>Stampa e riproduzione</c:v>
                </c:pt>
                <c:pt idx="11">
                  <c:v>Legno</c:v>
                </c:pt>
                <c:pt idx="12">
                  <c:v>Macchinari</c:v>
                </c:pt>
                <c:pt idx="13">
                  <c:v>Fabbricazione di mobili</c:v>
                </c:pt>
                <c:pt idx="14">
                  <c:v>Elettronica</c:v>
                </c:pt>
                <c:pt idx="15">
                  <c:v>Lav minerali non metalliferi</c:v>
                </c:pt>
                <c:pt idx="16">
                  <c:v>Abbigliamento</c:v>
                </c:pt>
                <c:pt idx="17">
                  <c:v>Appar eletriche</c:v>
                </c:pt>
                <c:pt idx="18">
                  <c:v>Fabbricazione di articoli in pelle e simili</c:v>
                </c:pt>
                <c:pt idx="19">
                  <c:v>Altre industrie manifatturiere</c:v>
                </c:pt>
                <c:pt idx="20">
                  <c:v>Fabbricazione di altri mezzi di trasporto</c:v>
                </c:pt>
              </c:strCache>
            </c:strRef>
          </c:cat>
          <c:val>
            <c:numRef>
              <c:f>'garfici corretti'!$C$71:$C$91</c:f>
              <c:numCache>
                <c:formatCode>0.0%</c:formatCode>
                <c:ptCount val="21"/>
                <c:pt idx="0">
                  <c:v>-3.9E-2</c:v>
                </c:pt>
                <c:pt idx="1">
                  <c:v>-3.6999999999999998E-2</c:v>
                </c:pt>
                <c:pt idx="2">
                  <c:v>-3.5999999999999997E-2</c:v>
                </c:pt>
                <c:pt idx="3">
                  <c:v>-2.8000000000000001E-2</c:v>
                </c:pt>
                <c:pt idx="4">
                  <c:v>-8.0000000000000002E-3</c:v>
                </c:pt>
                <c:pt idx="5">
                  <c:v>-1E-3</c:v>
                </c:pt>
                <c:pt idx="6">
                  <c:v>6.0000000000000001E-3</c:v>
                </c:pt>
                <c:pt idx="7">
                  <c:v>8.0000000000000002E-3</c:v>
                </c:pt>
                <c:pt idx="8">
                  <c:v>1.6E-2</c:v>
                </c:pt>
                <c:pt idx="9">
                  <c:v>1.6E-2</c:v>
                </c:pt>
                <c:pt idx="10">
                  <c:v>1.6E-2</c:v>
                </c:pt>
                <c:pt idx="11">
                  <c:v>2.1000000000000001E-2</c:v>
                </c:pt>
                <c:pt idx="12">
                  <c:v>0.03</c:v>
                </c:pt>
                <c:pt idx="13">
                  <c:v>0.03</c:v>
                </c:pt>
                <c:pt idx="14">
                  <c:v>3.2000000000000001E-2</c:v>
                </c:pt>
                <c:pt idx="15">
                  <c:v>3.4000000000000002E-2</c:v>
                </c:pt>
                <c:pt idx="16">
                  <c:v>4.4999999999999998E-2</c:v>
                </c:pt>
                <c:pt idx="17">
                  <c:v>6.2E-2</c:v>
                </c:pt>
                <c:pt idx="18">
                  <c:v>6.3E-2</c:v>
                </c:pt>
                <c:pt idx="19">
                  <c:v>6.6000000000000003E-2</c:v>
                </c:pt>
                <c:pt idx="20">
                  <c:v>0.17399999999999999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F4-4484-9650-2E293BD42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4617856"/>
        <c:axId val="239289088"/>
      </c:barChart>
      <c:catAx>
        <c:axId val="2346178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it-IT"/>
          </a:p>
        </c:txPr>
        <c:crossAx val="239289088"/>
        <c:crosses val="autoZero"/>
        <c:auto val="1"/>
        <c:lblAlgn val="ctr"/>
        <c:lblOffset val="100"/>
        <c:noMultiLvlLbl val="0"/>
      </c:catAx>
      <c:valAx>
        <c:axId val="23928908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234617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335909325090159E-2"/>
          <c:y val="2.0525451559934318E-2"/>
          <c:w val="0.94332818134981966"/>
          <c:h val="0.753142171883686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'garfici corretti'!$C$139</c:f>
              <c:strCache>
                <c:ptCount val="1"/>
                <c:pt idx="0">
                  <c:v>Ricavi</c:v>
                </c:pt>
              </c:strCache>
            </c:strRef>
          </c:tx>
          <c:spPr>
            <a:solidFill>
              <a:srgbClr val="E5E5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'garfici corretti'!$B$140:$B$143</c:f>
              <c:strCache>
                <c:ptCount val="4"/>
                <c:pt idx="0">
                  <c:v>Nord Ovest</c:v>
                </c:pt>
                <c:pt idx="1">
                  <c:v>Nord Est</c:v>
                </c:pt>
                <c:pt idx="2">
                  <c:v>Centro</c:v>
                </c:pt>
                <c:pt idx="3">
                  <c:v>Sud</c:v>
                </c:pt>
              </c:strCache>
            </c:strRef>
          </c:cat>
          <c:val>
            <c:numRef>
              <c:f>'garfici corretti'!$C$140:$C$143</c:f>
              <c:numCache>
                <c:formatCode>0.0%</c:formatCode>
                <c:ptCount val="4"/>
                <c:pt idx="0">
                  <c:v>1.2697855028202578E-2</c:v>
                </c:pt>
                <c:pt idx="1">
                  <c:v>2.5797178363440931E-2</c:v>
                </c:pt>
                <c:pt idx="2">
                  <c:v>4.2031576578923778E-2</c:v>
                </c:pt>
                <c:pt idx="3">
                  <c:v>5.9817548352730579E-2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B9-430D-B943-96325AF99021}"/>
            </c:ext>
          </c:extLst>
        </c:ser>
        <c:ser>
          <c:idx val="1"/>
          <c:order val="1"/>
          <c:tx>
            <c:strRef>
              <c:f>'garfici corretti'!$D$139</c:f>
              <c:strCache>
                <c:ptCount val="1"/>
                <c:pt idx="0">
                  <c:v>Valore Aggiunto</c:v>
                </c:pt>
              </c:strCache>
            </c:strRef>
          </c:tx>
          <c:spPr>
            <a:solidFill>
              <a:srgbClr val="000099"/>
            </a:solidFill>
            <a:ln>
              <a:solidFill>
                <a:srgbClr val="00206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'garfici corretti'!$B$140:$B$143</c:f>
              <c:strCache>
                <c:ptCount val="4"/>
                <c:pt idx="0">
                  <c:v>Nord Ovest</c:v>
                </c:pt>
                <c:pt idx="1">
                  <c:v>Nord Est</c:v>
                </c:pt>
                <c:pt idx="2">
                  <c:v>Centro</c:v>
                </c:pt>
                <c:pt idx="3">
                  <c:v>Sud</c:v>
                </c:pt>
              </c:strCache>
            </c:strRef>
          </c:cat>
          <c:val>
            <c:numRef>
              <c:f>'garfici corretti'!$D$140:$D$143</c:f>
              <c:numCache>
                <c:formatCode>0.0%</c:formatCode>
                <c:ptCount val="4"/>
                <c:pt idx="0">
                  <c:v>3.4709625258569382E-2</c:v>
                </c:pt>
                <c:pt idx="1">
                  <c:v>4.5769350260885022E-2</c:v>
                </c:pt>
                <c:pt idx="2">
                  <c:v>5.0974193534685068E-2</c:v>
                </c:pt>
                <c:pt idx="3">
                  <c:v>0.10338663186432893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B9-430D-B943-96325AF990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48693280"/>
        <c:axId val="1848677472"/>
      </c:barChart>
      <c:catAx>
        <c:axId val="184869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48677472"/>
        <c:crosses val="autoZero"/>
        <c:auto val="1"/>
        <c:lblAlgn val="ctr"/>
        <c:lblOffset val="100"/>
        <c:noMultiLvlLbl val="0"/>
      </c:catAx>
      <c:valAx>
        <c:axId val="184867747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184869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437243411602799"/>
          <c:y val="0.90120471702986515"/>
          <c:w val="0.39125513176794396"/>
          <c:h val="8.47371761285228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49B3-B50D-436A-B0E5-656C9355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20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 Di Nardo</dc:creator>
  <cp:lastModifiedBy>Sergio D'Elia</cp:lastModifiedBy>
  <cp:revision>7</cp:revision>
  <cp:lastPrinted>2021-02-14T14:50:00Z</cp:lastPrinted>
  <dcterms:created xsi:type="dcterms:W3CDTF">2021-02-10T07:38:00Z</dcterms:created>
  <dcterms:modified xsi:type="dcterms:W3CDTF">2021-02-14T14:51:00Z</dcterms:modified>
</cp:coreProperties>
</file>